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3F1705E6" w:rsidR="003631E0" w:rsidRPr="00AA33EF" w:rsidRDefault="003631E0" w:rsidP="008F4533">
      <w:pPr>
        <w:pStyle w:val="MH1nonumb"/>
        <w:spacing w:after="0"/>
      </w:pPr>
      <w:r w:rsidRPr="00AA33EF">
        <w:t xml:space="preserve">EXECUTIVE SUMMARY – INVESTORS’ RESIDENCE SCHEMES IN </w:t>
      </w:r>
      <w:r w:rsidR="00293AC2" w:rsidRPr="00AA33EF">
        <w:t>Germany</w:t>
      </w:r>
    </w:p>
    <w:p w14:paraId="70689BFF" w14:textId="77777777" w:rsidR="00D00CD2" w:rsidRPr="00AA33EF" w:rsidRDefault="00D00CD2" w:rsidP="00AA33EF">
      <w:pPr>
        <w:pStyle w:val="MMultilevel"/>
        <w:numPr>
          <w:ilvl w:val="0"/>
          <w:numId w:val="0"/>
        </w:numPr>
        <w:rPr>
          <w:i/>
          <w:color w:val="FF0000"/>
          <w:lang w:val="en-GB"/>
        </w:rPr>
      </w:pPr>
      <w:bookmarkStart w:id="0" w:name="_Hlk512356128"/>
    </w:p>
    <w:bookmarkEnd w:id="0"/>
    <w:p w14:paraId="17E17E7D" w14:textId="77777777" w:rsidR="00481836" w:rsidRPr="00AA33EF" w:rsidRDefault="00481836" w:rsidP="00AA33EF">
      <w:pPr>
        <w:spacing w:after="0" w:line="240" w:lineRule="auto"/>
        <w:jc w:val="both"/>
        <w:rPr>
          <w:b/>
          <w:i/>
          <w:sz w:val="22"/>
          <w:szCs w:val="22"/>
        </w:rPr>
      </w:pPr>
      <w:r w:rsidRPr="00AA33EF">
        <w:rPr>
          <w:b/>
          <w:i/>
          <w:sz w:val="22"/>
          <w:szCs w:val="22"/>
        </w:rPr>
        <w:t>General background</w:t>
      </w:r>
    </w:p>
    <w:p w14:paraId="15391970" w14:textId="77777777" w:rsidR="00481836" w:rsidRPr="00AA33EF" w:rsidRDefault="00481836" w:rsidP="00AA33EF">
      <w:pPr>
        <w:spacing w:after="0" w:line="240" w:lineRule="auto"/>
        <w:jc w:val="both"/>
        <w:rPr>
          <w:sz w:val="22"/>
          <w:szCs w:val="22"/>
        </w:rPr>
      </w:pPr>
    </w:p>
    <w:p w14:paraId="0C2AB725" w14:textId="0E4978C4" w:rsidR="00693919" w:rsidRPr="00AA33EF" w:rsidRDefault="00D94CAF" w:rsidP="00AA33EF">
      <w:pPr>
        <w:spacing w:after="0" w:line="240" w:lineRule="auto"/>
        <w:jc w:val="both"/>
        <w:rPr>
          <w:sz w:val="22"/>
          <w:szCs w:val="22"/>
        </w:rPr>
      </w:pPr>
      <w:r w:rsidRPr="00AA33EF">
        <w:rPr>
          <w:sz w:val="22"/>
          <w:szCs w:val="22"/>
        </w:rPr>
        <w:t xml:space="preserve">The </w:t>
      </w:r>
      <w:r w:rsidR="000D3FFC" w:rsidRPr="00AA33EF">
        <w:rPr>
          <w:sz w:val="22"/>
          <w:szCs w:val="22"/>
        </w:rPr>
        <w:t>German</w:t>
      </w:r>
      <w:r w:rsidRPr="00AA33EF">
        <w:rPr>
          <w:sz w:val="22"/>
          <w:szCs w:val="22"/>
        </w:rPr>
        <w:t xml:space="preserve"> general legislation concerning residence for foreigners, the </w:t>
      </w:r>
      <w:r w:rsidRPr="00AA33EF">
        <w:rPr>
          <w:b/>
          <w:sz w:val="22"/>
          <w:szCs w:val="22"/>
        </w:rPr>
        <w:t>Residence Act</w:t>
      </w:r>
      <w:r w:rsidR="00C85D46" w:rsidRPr="00AA33EF">
        <w:rPr>
          <w:rStyle w:val="FootnoteReference"/>
          <w:sz w:val="22"/>
          <w:szCs w:val="22"/>
        </w:rPr>
        <w:footnoteReference w:id="1"/>
      </w:r>
      <w:r w:rsidRPr="00AA33EF">
        <w:rPr>
          <w:sz w:val="22"/>
          <w:szCs w:val="22"/>
        </w:rPr>
        <w:t xml:space="preserve"> provides the legal basis for foreigners who want to pursue an economic activity as a self-employed</w:t>
      </w:r>
      <w:r w:rsidR="00444928" w:rsidRPr="00AA33EF">
        <w:rPr>
          <w:sz w:val="22"/>
          <w:szCs w:val="22"/>
        </w:rPr>
        <w:t xml:space="preserve"> to obtain</w:t>
      </w:r>
      <w:r w:rsidR="00FD2EAD" w:rsidRPr="00AA33EF">
        <w:rPr>
          <w:sz w:val="22"/>
          <w:szCs w:val="22"/>
        </w:rPr>
        <w:t xml:space="preserve"> German residency</w:t>
      </w:r>
      <w:r w:rsidRPr="00AA33EF">
        <w:rPr>
          <w:sz w:val="22"/>
          <w:szCs w:val="22"/>
        </w:rPr>
        <w:t xml:space="preserve">. The German residence scheme is designed as an </w:t>
      </w:r>
      <w:r w:rsidRPr="00AA33EF">
        <w:rPr>
          <w:b/>
          <w:sz w:val="22"/>
          <w:szCs w:val="22"/>
        </w:rPr>
        <w:t>entrepreneurial residence programme</w:t>
      </w:r>
      <w:r w:rsidRPr="00AA33EF">
        <w:rPr>
          <w:sz w:val="22"/>
          <w:szCs w:val="22"/>
        </w:rPr>
        <w:t xml:space="preserve">, aimed </w:t>
      </w:r>
      <w:r w:rsidR="00FD2EAD" w:rsidRPr="00AA33EF">
        <w:rPr>
          <w:sz w:val="22"/>
          <w:szCs w:val="22"/>
        </w:rPr>
        <w:t>at attracting</w:t>
      </w:r>
      <w:r w:rsidRPr="00AA33EF">
        <w:rPr>
          <w:sz w:val="22"/>
          <w:szCs w:val="22"/>
        </w:rPr>
        <w:t xml:space="preserve"> entrepreneurs</w:t>
      </w:r>
      <w:r w:rsidR="00DB013E" w:rsidRPr="00AA33EF">
        <w:rPr>
          <w:sz w:val="22"/>
          <w:szCs w:val="22"/>
        </w:rPr>
        <w:t xml:space="preserve"> with innovative and successful </w:t>
      </w:r>
      <w:r w:rsidR="00BC32EF" w:rsidRPr="00AA33EF">
        <w:rPr>
          <w:sz w:val="22"/>
          <w:szCs w:val="22"/>
        </w:rPr>
        <w:t>business plans</w:t>
      </w:r>
      <w:r w:rsidR="0070228B" w:rsidRPr="00AA33EF">
        <w:rPr>
          <w:sz w:val="22"/>
          <w:szCs w:val="22"/>
        </w:rPr>
        <w:t xml:space="preserve">, </w:t>
      </w:r>
      <w:r w:rsidRPr="00AA33EF">
        <w:rPr>
          <w:sz w:val="22"/>
          <w:szCs w:val="22"/>
        </w:rPr>
        <w:t xml:space="preserve">who </w:t>
      </w:r>
      <w:r w:rsidR="00DB013E" w:rsidRPr="00AA33EF">
        <w:rPr>
          <w:sz w:val="22"/>
          <w:szCs w:val="22"/>
        </w:rPr>
        <w:t xml:space="preserve">could </w:t>
      </w:r>
      <w:r w:rsidR="0070228B" w:rsidRPr="00AA33EF">
        <w:rPr>
          <w:sz w:val="22"/>
          <w:szCs w:val="22"/>
        </w:rPr>
        <w:t xml:space="preserve">therefore </w:t>
      </w:r>
      <w:r w:rsidRPr="00AA33EF">
        <w:rPr>
          <w:sz w:val="22"/>
          <w:szCs w:val="22"/>
        </w:rPr>
        <w:t>contribute to the</w:t>
      </w:r>
      <w:r w:rsidR="00AB2405" w:rsidRPr="00AA33EF">
        <w:rPr>
          <w:sz w:val="22"/>
          <w:szCs w:val="22"/>
        </w:rPr>
        <w:t xml:space="preserve"> German</w:t>
      </w:r>
      <w:r w:rsidRPr="00AA33EF">
        <w:rPr>
          <w:sz w:val="22"/>
          <w:szCs w:val="22"/>
        </w:rPr>
        <w:t xml:space="preserve"> economy</w:t>
      </w:r>
      <w:r w:rsidR="00AB2405" w:rsidRPr="00AA33EF">
        <w:rPr>
          <w:sz w:val="22"/>
          <w:szCs w:val="22"/>
        </w:rPr>
        <w:t>.</w:t>
      </w:r>
      <w:r w:rsidR="00DB013E" w:rsidRPr="00AA33EF">
        <w:rPr>
          <w:sz w:val="22"/>
          <w:szCs w:val="22"/>
        </w:rPr>
        <w:t xml:space="preserve"> The residence scheme is not designed to attract money by itself or to exchange citizenship or residence rights for an investment. Rather, the scheme’s main purpose is attracting the (skilled) foreigner himself.</w:t>
      </w:r>
    </w:p>
    <w:p w14:paraId="45CE9C5D" w14:textId="77777777" w:rsidR="00693919" w:rsidRPr="00AA33EF" w:rsidRDefault="00693919" w:rsidP="00AA33EF">
      <w:pPr>
        <w:spacing w:after="0" w:line="240" w:lineRule="auto"/>
        <w:jc w:val="both"/>
        <w:rPr>
          <w:sz w:val="22"/>
          <w:szCs w:val="22"/>
        </w:rPr>
      </w:pPr>
    </w:p>
    <w:p w14:paraId="689F69E8" w14:textId="7BA2338B" w:rsidR="00D94CAF" w:rsidRPr="00AA33EF" w:rsidRDefault="00693919" w:rsidP="00AA33EF">
      <w:pPr>
        <w:spacing w:after="0" w:line="240" w:lineRule="auto"/>
        <w:jc w:val="both"/>
        <w:rPr>
          <w:sz w:val="22"/>
          <w:szCs w:val="22"/>
        </w:rPr>
      </w:pPr>
      <w:r w:rsidRPr="00AA33EF">
        <w:rPr>
          <w:sz w:val="22"/>
          <w:szCs w:val="22"/>
        </w:rPr>
        <w:t xml:space="preserve">It </w:t>
      </w:r>
      <w:r w:rsidR="00E96E77" w:rsidRPr="00AA33EF">
        <w:rPr>
          <w:sz w:val="22"/>
          <w:szCs w:val="22"/>
        </w:rPr>
        <w:t>is</w:t>
      </w:r>
      <w:r w:rsidRPr="00AA33EF">
        <w:rPr>
          <w:sz w:val="22"/>
          <w:szCs w:val="22"/>
        </w:rPr>
        <w:t xml:space="preserve"> noted that the Residence Act was amended in 2012. Before the amendment, it </w:t>
      </w:r>
      <w:r w:rsidR="001E647D" w:rsidRPr="00AA33EF">
        <w:rPr>
          <w:sz w:val="22"/>
          <w:szCs w:val="22"/>
        </w:rPr>
        <w:t xml:space="preserve">was </w:t>
      </w:r>
      <w:r w:rsidRPr="00AA33EF">
        <w:rPr>
          <w:sz w:val="22"/>
          <w:szCs w:val="22"/>
        </w:rPr>
        <w:t>explicitly set out that, when assessing the economic interest of granting a temporary residence permit, the competent authority had to assume that an economic interest generally exists when EUR 250,000 is invested and five employment places are created.</w:t>
      </w:r>
      <w:r w:rsidR="00C02082" w:rsidRPr="00AA33EF">
        <w:rPr>
          <w:sz w:val="22"/>
          <w:szCs w:val="22"/>
        </w:rPr>
        <w:t xml:space="preserve"> This threshold assumption was removed by the 2012 amendment. </w:t>
      </w:r>
    </w:p>
    <w:p w14:paraId="46AECAD6" w14:textId="77777777" w:rsidR="00D94CAF" w:rsidRPr="00AA33EF" w:rsidRDefault="00D94CAF" w:rsidP="00AA33EF">
      <w:pPr>
        <w:spacing w:after="0" w:line="240" w:lineRule="auto"/>
        <w:jc w:val="both"/>
        <w:rPr>
          <w:sz w:val="22"/>
          <w:szCs w:val="22"/>
        </w:rPr>
      </w:pPr>
    </w:p>
    <w:p w14:paraId="3AA8609D" w14:textId="0E98F26F" w:rsidR="00D94CAF" w:rsidRPr="00AA33EF" w:rsidRDefault="00D94CAF" w:rsidP="00AA33EF">
      <w:pPr>
        <w:spacing w:after="0" w:line="240" w:lineRule="auto"/>
        <w:jc w:val="both"/>
        <w:rPr>
          <w:sz w:val="22"/>
          <w:szCs w:val="22"/>
        </w:rPr>
      </w:pPr>
      <w:r w:rsidRPr="00AA33EF">
        <w:rPr>
          <w:sz w:val="22"/>
          <w:szCs w:val="22"/>
        </w:rPr>
        <w:t>The main implementation instrument</w:t>
      </w:r>
      <w:r w:rsidR="00FD2EAD" w:rsidRPr="00AA33EF">
        <w:rPr>
          <w:sz w:val="22"/>
          <w:szCs w:val="22"/>
        </w:rPr>
        <w:t xml:space="preserve"> in relation to the Residence Act</w:t>
      </w:r>
      <w:r w:rsidRPr="00AA33EF">
        <w:rPr>
          <w:sz w:val="22"/>
          <w:szCs w:val="22"/>
        </w:rPr>
        <w:t xml:space="preserve"> is the General Residence Act Implementation Instruction</w:t>
      </w:r>
      <w:r w:rsidR="00C85D46" w:rsidRPr="00AA33EF">
        <w:rPr>
          <w:rStyle w:val="FootnoteReference"/>
          <w:sz w:val="22"/>
          <w:szCs w:val="22"/>
        </w:rPr>
        <w:footnoteReference w:id="2"/>
      </w:r>
      <w:r w:rsidRPr="00AA33EF">
        <w:rPr>
          <w:sz w:val="22"/>
          <w:szCs w:val="22"/>
        </w:rPr>
        <w:t xml:space="preserve"> adopted in 2009 and </w:t>
      </w:r>
      <w:r w:rsidR="00FD2EAD" w:rsidRPr="00AA33EF">
        <w:rPr>
          <w:sz w:val="22"/>
          <w:szCs w:val="22"/>
        </w:rPr>
        <w:t>unamended</w:t>
      </w:r>
      <w:r w:rsidRPr="00AA33EF">
        <w:rPr>
          <w:sz w:val="22"/>
          <w:szCs w:val="22"/>
        </w:rPr>
        <w:t xml:space="preserve"> since then. </w:t>
      </w:r>
      <w:r w:rsidR="003B5F07" w:rsidRPr="00AA33EF">
        <w:rPr>
          <w:sz w:val="22"/>
          <w:szCs w:val="22"/>
        </w:rPr>
        <w:t xml:space="preserve">Due to amendments to the primary legislation, </w:t>
      </w:r>
      <w:r w:rsidRPr="00AA33EF">
        <w:rPr>
          <w:sz w:val="22"/>
          <w:szCs w:val="22"/>
        </w:rPr>
        <w:t>several provisions in this Implementation Instruction have no binding effect</w:t>
      </w:r>
      <w:r w:rsidR="003B5F07" w:rsidRPr="00AA33EF">
        <w:rPr>
          <w:sz w:val="22"/>
          <w:szCs w:val="22"/>
        </w:rPr>
        <w:t>.</w:t>
      </w:r>
    </w:p>
    <w:p w14:paraId="688F3DF3" w14:textId="77777777" w:rsidR="00D94CAF" w:rsidRPr="00AA33EF" w:rsidRDefault="00D94CAF" w:rsidP="00AA33EF">
      <w:pPr>
        <w:spacing w:after="0" w:line="240" w:lineRule="auto"/>
        <w:jc w:val="both"/>
        <w:rPr>
          <w:sz w:val="22"/>
          <w:szCs w:val="22"/>
        </w:rPr>
      </w:pPr>
    </w:p>
    <w:p w14:paraId="5A488817" w14:textId="19BFCCD6" w:rsidR="00D94CAF" w:rsidRPr="00AA33EF" w:rsidRDefault="00D94CAF" w:rsidP="00AA33EF">
      <w:pPr>
        <w:spacing w:after="0" w:line="240" w:lineRule="auto"/>
        <w:jc w:val="both"/>
        <w:rPr>
          <w:sz w:val="22"/>
          <w:szCs w:val="22"/>
        </w:rPr>
      </w:pPr>
      <w:r w:rsidRPr="00AA33EF">
        <w:rPr>
          <w:sz w:val="22"/>
          <w:szCs w:val="22"/>
        </w:rPr>
        <w:t xml:space="preserve">Under the Residence Act, the most </w:t>
      </w:r>
      <w:r w:rsidR="00FD2EAD" w:rsidRPr="00AA33EF">
        <w:rPr>
          <w:sz w:val="22"/>
          <w:szCs w:val="22"/>
        </w:rPr>
        <w:t xml:space="preserve">important </w:t>
      </w:r>
      <w:r w:rsidR="00FD2EAD" w:rsidRPr="00AA33EF">
        <w:rPr>
          <w:b/>
          <w:sz w:val="22"/>
          <w:szCs w:val="22"/>
        </w:rPr>
        <w:t xml:space="preserve">competent </w:t>
      </w:r>
      <w:r w:rsidRPr="00AA33EF">
        <w:rPr>
          <w:b/>
          <w:sz w:val="22"/>
          <w:szCs w:val="22"/>
        </w:rPr>
        <w:t xml:space="preserve">authorities </w:t>
      </w:r>
      <w:r w:rsidRPr="00AA33EF">
        <w:rPr>
          <w:sz w:val="22"/>
          <w:szCs w:val="22"/>
        </w:rPr>
        <w:t xml:space="preserve">in the general context </w:t>
      </w:r>
      <w:r w:rsidR="00FD2EAD" w:rsidRPr="00AA33EF">
        <w:rPr>
          <w:sz w:val="22"/>
          <w:szCs w:val="22"/>
        </w:rPr>
        <w:t xml:space="preserve">of </w:t>
      </w:r>
      <w:r w:rsidRPr="00AA33EF">
        <w:rPr>
          <w:sz w:val="22"/>
          <w:szCs w:val="22"/>
        </w:rPr>
        <w:t>residence permits and affairs with foreigners, are the foreigners offices (FO</w:t>
      </w:r>
      <w:r w:rsidR="00FD2EAD" w:rsidRPr="00AA33EF">
        <w:rPr>
          <w:sz w:val="22"/>
          <w:szCs w:val="22"/>
        </w:rPr>
        <w:t>s</w:t>
      </w:r>
      <w:r w:rsidRPr="00AA33EF">
        <w:rPr>
          <w:sz w:val="22"/>
          <w:szCs w:val="22"/>
        </w:rPr>
        <w:t xml:space="preserve">). The FOs are organised locally: </w:t>
      </w:r>
      <w:r w:rsidR="00FD2EAD" w:rsidRPr="00AA33EF">
        <w:rPr>
          <w:sz w:val="22"/>
          <w:szCs w:val="22"/>
        </w:rPr>
        <w:t xml:space="preserve">an FO is established in </w:t>
      </w:r>
      <w:r w:rsidRPr="00AA33EF">
        <w:rPr>
          <w:sz w:val="22"/>
          <w:szCs w:val="22"/>
        </w:rPr>
        <w:t>each county (</w:t>
      </w:r>
      <w:r w:rsidRPr="00AA33EF">
        <w:rPr>
          <w:i/>
          <w:sz w:val="22"/>
          <w:szCs w:val="22"/>
        </w:rPr>
        <w:t>Landkreis</w:t>
      </w:r>
      <w:r w:rsidRPr="00AA33EF">
        <w:rPr>
          <w:sz w:val="22"/>
          <w:szCs w:val="22"/>
        </w:rPr>
        <w:t xml:space="preserve"> and </w:t>
      </w:r>
      <w:r w:rsidRPr="00AA33EF">
        <w:rPr>
          <w:i/>
          <w:sz w:val="22"/>
          <w:szCs w:val="22"/>
        </w:rPr>
        <w:t>Kreisfreie Stadt</w:t>
      </w:r>
      <w:r w:rsidRPr="00AA33EF">
        <w:rPr>
          <w:sz w:val="22"/>
          <w:szCs w:val="22"/>
        </w:rPr>
        <w:t xml:space="preserve">). As a consequence of Germany's federal organisation, the FOs fall under the administrative competence of the Länder. This affects certain administrative aspects of the procedure, such as </w:t>
      </w:r>
      <w:r w:rsidR="00FD2EAD" w:rsidRPr="00AA33EF">
        <w:rPr>
          <w:sz w:val="22"/>
          <w:szCs w:val="22"/>
        </w:rPr>
        <w:t xml:space="preserve">its </w:t>
      </w:r>
      <w:r w:rsidRPr="00AA33EF">
        <w:rPr>
          <w:sz w:val="22"/>
          <w:szCs w:val="22"/>
        </w:rPr>
        <w:t>course, the documents needed, the appeal and supervision.</w:t>
      </w:r>
      <w:r w:rsidR="00A025D5" w:rsidRPr="00AA33EF">
        <w:rPr>
          <w:sz w:val="22"/>
          <w:szCs w:val="22"/>
        </w:rPr>
        <w:t xml:space="preserve"> The FOs have an obligation to consult one of the trade and business bodies when assessing applications</w:t>
      </w:r>
      <w:r w:rsidR="002B5078" w:rsidRPr="00AA33EF">
        <w:rPr>
          <w:sz w:val="22"/>
          <w:szCs w:val="22"/>
        </w:rPr>
        <w:t xml:space="preserve"> but their opinion is not binding.</w:t>
      </w:r>
    </w:p>
    <w:p w14:paraId="2B99BB04" w14:textId="77777777" w:rsidR="00D94CAF" w:rsidRPr="00AA33EF" w:rsidRDefault="00D94CAF" w:rsidP="00AA33EF">
      <w:pPr>
        <w:spacing w:after="0" w:line="240" w:lineRule="auto"/>
        <w:jc w:val="both"/>
        <w:rPr>
          <w:sz w:val="22"/>
          <w:szCs w:val="22"/>
        </w:rPr>
      </w:pPr>
    </w:p>
    <w:p w14:paraId="43A84811" w14:textId="4A4A34BD" w:rsidR="00D94CAF" w:rsidRPr="00AA33EF" w:rsidRDefault="00C8015F" w:rsidP="00AA33EF">
      <w:pPr>
        <w:spacing w:after="0" w:line="240" w:lineRule="auto"/>
        <w:jc w:val="both"/>
        <w:rPr>
          <w:b/>
          <w:i/>
          <w:sz w:val="22"/>
          <w:szCs w:val="22"/>
        </w:rPr>
      </w:pPr>
      <w:r w:rsidRPr="00AA33EF">
        <w:rPr>
          <w:b/>
          <w:i/>
          <w:sz w:val="22"/>
          <w:szCs w:val="22"/>
        </w:rPr>
        <w:t>Conditions and p</w:t>
      </w:r>
      <w:r w:rsidR="00D94CAF" w:rsidRPr="00AA33EF">
        <w:rPr>
          <w:b/>
          <w:i/>
          <w:sz w:val="22"/>
          <w:szCs w:val="22"/>
        </w:rPr>
        <w:t>rocedure</w:t>
      </w:r>
    </w:p>
    <w:p w14:paraId="29E1962F" w14:textId="77777777" w:rsidR="00D94CAF" w:rsidRPr="00AA33EF" w:rsidRDefault="00D94CAF" w:rsidP="00AA33EF">
      <w:pPr>
        <w:spacing w:after="0" w:line="240" w:lineRule="auto"/>
        <w:jc w:val="both"/>
        <w:rPr>
          <w:sz w:val="22"/>
          <w:szCs w:val="22"/>
        </w:rPr>
      </w:pPr>
    </w:p>
    <w:p w14:paraId="403DD2B2" w14:textId="77777777" w:rsidR="008218C4" w:rsidRPr="00AA33EF" w:rsidRDefault="00D94CAF" w:rsidP="00AA33EF">
      <w:pPr>
        <w:spacing w:after="0" w:line="240" w:lineRule="auto"/>
        <w:jc w:val="both"/>
        <w:rPr>
          <w:sz w:val="22"/>
          <w:szCs w:val="22"/>
        </w:rPr>
      </w:pPr>
      <w:r w:rsidRPr="00AA33EF">
        <w:rPr>
          <w:sz w:val="22"/>
          <w:szCs w:val="22"/>
        </w:rPr>
        <w:t xml:space="preserve">The Residence Act distinguishes between the different types of residence titles. For the purpose of the residence scheme for foreigners who want to pursue an economic activity as a self-employed, the </w:t>
      </w:r>
      <w:r w:rsidRPr="00AA33EF">
        <w:rPr>
          <w:b/>
          <w:sz w:val="22"/>
          <w:szCs w:val="22"/>
        </w:rPr>
        <w:t>temporary residence permit and the settlement permit</w:t>
      </w:r>
      <w:r w:rsidRPr="00AA33EF">
        <w:rPr>
          <w:sz w:val="22"/>
          <w:szCs w:val="22"/>
        </w:rPr>
        <w:t xml:space="preserve"> are the relevant titles. </w:t>
      </w:r>
    </w:p>
    <w:p w14:paraId="11FA4774" w14:textId="77777777" w:rsidR="00AA33EF" w:rsidRDefault="00AA33EF" w:rsidP="00AA33EF">
      <w:pPr>
        <w:spacing w:after="0" w:line="240" w:lineRule="auto"/>
        <w:jc w:val="both"/>
        <w:rPr>
          <w:sz w:val="22"/>
          <w:szCs w:val="22"/>
        </w:rPr>
      </w:pPr>
    </w:p>
    <w:p w14:paraId="3CE767AD" w14:textId="261F1877" w:rsidR="00693919" w:rsidRPr="00AA33EF" w:rsidRDefault="00D94CAF" w:rsidP="00AA33EF">
      <w:pPr>
        <w:spacing w:after="0" w:line="240" w:lineRule="auto"/>
        <w:jc w:val="both"/>
        <w:rPr>
          <w:sz w:val="22"/>
          <w:szCs w:val="22"/>
        </w:rPr>
      </w:pPr>
      <w:r w:rsidRPr="00AA33EF">
        <w:rPr>
          <w:sz w:val="22"/>
          <w:szCs w:val="22"/>
        </w:rPr>
        <w:t xml:space="preserve">The temporary residence permit for the purpose of the pursuit of an economic activity as a self-employed is </w:t>
      </w:r>
      <w:r w:rsidRPr="00AA33EF">
        <w:rPr>
          <w:b/>
          <w:sz w:val="22"/>
          <w:szCs w:val="22"/>
        </w:rPr>
        <w:t>open to all third country nationals</w:t>
      </w:r>
      <w:r w:rsidR="00FD2EAD" w:rsidRPr="00AA33EF">
        <w:rPr>
          <w:sz w:val="22"/>
          <w:szCs w:val="22"/>
        </w:rPr>
        <w:t xml:space="preserve"> (on the basis of certain conditions)</w:t>
      </w:r>
      <w:r w:rsidRPr="00AA33EF">
        <w:rPr>
          <w:sz w:val="22"/>
          <w:szCs w:val="22"/>
        </w:rPr>
        <w:t xml:space="preserve"> </w:t>
      </w:r>
      <w:r w:rsidR="00FD2EAD" w:rsidRPr="00AA33EF">
        <w:rPr>
          <w:sz w:val="22"/>
          <w:szCs w:val="22"/>
        </w:rPr>
        <w:t xml:space="preserve">who are eligible for a residence title and who want to start a business as a self-employed or who already run a foreign business and want to establish a German branch. </w:t>
      </w:r>
      <w:r w:rsidR="008218C4" w:rsidRPr="00AA33EF">
        <w:rPr>
          <w:sz w:val="22"/>
          <w:szCs w:val="22"/>
        </w:rPr>
        <w:t xml:space="preserve">The temporary residence permit is valid for maximum </w:t>
      </w:r>
      <w:r w:rsidR="008218C4" w:rsidRPr="00AA33EF">
        <w:rPr>
          <w:b/>
          <w:sz w:val="22"/>
          <w:szCs w:val="22"/>
        </w:rPr>
        <w:t>three years</w:t>
      </w:r>
      <w:r w:rsidR="008218C4" w:rsidRPr="00AA33EF">
        <w:rPr>
          <w:sz w:val="22"/>
          <w:szCs w:val="22"/>
        </w:rPr>
        <w:t xml:space="preserve"> and </w:t>
      </w:r>
      <w:r w:rsidR="008218C4" w:rsidRPr="00AA33EF">
        <w:rPr>
          <w:b/>
          <w:sz w:val="22"/>
          <w:szCs w:val="22"/>
        </w:rPr>
        <w:t>cannot be renewed</w:t>
      </w:r>
      <w:r w:rsidR="008218C4" w:rsidRPr="00AA33EF">
        <w:rPr>
          <w:sz w:val="22"/>
          <w:szCs w:val="22"/>
        </w:rPr>
        <w:t>. However, a</w:t>
      </w:r>
      <w:r w:rsidRPr="00AA33EF">
        <w:rPr>
          <w:sz w:val="22"/>
          <w:szCs w:val="22"/>
        </w:rPr>
        <w:t xml:space="preserve">fter three years and </w:t>
      </w:r>
      <w:r w:rsidR="00C43CE6" w:rsidRPr="00AA33EF">
        <w:rPr>
          <w:sz w:val="22"/>
          <w:szCs w:val="22"/>
        </w:rPr>
        <w:t xml:space="preserve">if </w:t>
      </w:r>
      <w:r w:rsidRPr="00AA33EF">
        <w:rPr>
          <w:sz w:val="22"/>
          <w:szCs w:val="22"/>
        </w:rPr>
        <w:t xml:space="preserve">the economic activity as a self-employed is successfully carried out, the foreigner </w:t>
      </w:r>
      <w:r w:rsidR="0040634E" w:rsidRPr="00AA33EF">
        <w:rPr>
          <w:sz w:val="22"/>
          <w:szCs w:val="22"/>
        </w:rPr>
        <w:t>can</w:t>
      </w:r>
      <w:r w:rsidRPr="00AA33EF">
        <w:rPr>
          <w:sz w:val="22"/>
          <w:szCs w:val="22"/>
        </w:rPr>
        <w:t xml:space="preserve"> be granted a permanent </w:t>
      </w:r>
      <w:r w:rsidRPr="00AA33EF">
        <w:rPr>
          <w:b/>
          <w:sz w:val="22"/>
          <w:szCs w:val="22"/>
        </w:rPr>
        <w:t>settlement permit</w:t>
      </w:r>
      <w:r w:rsidRPr="00AA33EF">
        <w:rPr>
          <w:sz w:val="22"/>
          <w:szCs w:val="22"/>
        </w:rPr>
        <w:t>.</w:t>
      </w:r>
      <w:r w:rsidR="00693919" w:rsidRPr="00AA33EF">
        <w:rPr>
          <w:sz w:val="22"/>
          <w:szCs w:val="22"/>
        </w:rPr>
        <w:t xml:space="preserve"> Which is valid for a</w:t>
      </w:r>
      <w:r w:rsidR="001042D4" w:rsidRPr="00AA33EF">
        <w:rPr>
          <w:sz w:val="22"/>
          <w:szCs w:val="22"/>
        </w:rPr>
        <w:t>n indefinite time</w:t>
      </w:r>
      <w:r w:rsidR="0079773F" w:rsidRPr="00AA33EF">
        <w:rPr>
          <w:sz w:val="22"/>
          <w:szCs w:val="22"/>
        </w:rPr>
        <w:t xml:space="preserve"> and, thus, does not need to be renewed</w:t>
      </w:r>
      <w:r w:rsidR="001042D4" w:rsidRPr="00AA33EF">
        <w:rPr>
          <w:sz w:val="22"/>
          <w:szCs w:val="22"/>
        </w:rPr>
        <w:t xml:space="preserve">. </w:t>
      </w:r>
    </w:p>
    <w:p w14:paraId="18994414" w14:textId="27588E57" w:rsidR="000D3FFC" w:rsidRPr="00AA33EF" w:rsidRDefault="000D3FFC" w:rsidP="00AA33EF">
      <w:pPr>
        <w:spacing w:after="0" w:line="240" w:lineRule="auto"/>
        <w:jc w:val="both"/>
        <w:rPr>
          <w:sz w:val="22"/>
          <w:szCs w:val="22"/>
        </w:rPr>
      </w:pPr>
    </w:p>
    <w:p w14:paraId="7257FDF4" w14:textId="2AF41552" w:rsidR="000D3FFC" w:rsidRPr="00AA33EF" w:rsidRDefault="000D3FFC" w:rsidP="00AA33EF">
      <w:pPr>
        <w:spacing w:after="0" w:line="240" w:lineRule="auto"/>
        <w:jc w:val="both"/>
        <w:rPr>
          <w:sz w:val="22"/>
          <w:szCs w:val="22"/>
        </w:rPr>
      </w:pPr>
      <w:r w:rsidRPr="00AA33EF">
        <w:rPr>
          <w:sz w:val="22"/>
          <w:szCs w:val="22"/>
        </w:rPr>
        <w:t xml:space="preserve">Neither for the temporary permit nor for the settlement permit does </w:t>
      </w:r>
      <w:r w:rsidRPr="00AA33EF">
        <w:rPr>
          <w:sz w:val="22"/>
          <w:szCs w:val="22"/>
        </w:rPr>
        <w:t xml:space="preserve">the German scheme </w:t>
      </w:r>
      <w:r w:rsidRPr="00AA33EF">
        <w:rPr>
          <w:b/>
          <w:sz w:val="22"/>
          <w:szCs w:val="22"/>
        </w:rPr>
        <w:t>include investment thresholds</w:t>
      </w:r>
      <w:r w:rsidR="00F07766" w:rsidRPr="00AA33EF">
        <w:rPr>
          <w:b/>
          <w:sz w:val="22"/>
          <w:szCs w:val="22"/>
        </w:rPr>
        <w:t xml:space="preserve"> </w:t>
      </w:r>
      <w:r w:rsidR="00F07766" w:rsidRPr="00AA33EF">
        <w:rPr>
          <w:sz w:val="22"/>
          <w:szCs w:val="22"/>
        </w:rPr>
        <w:t>(since the 2012 amendment to the Residence Act)</w:t>
      </w:r>
      <w:r w:rsidRPr="00AA33EF">
        <w:rPr>
          <w:sz w:val="22"/>
          <w:szCs w:val="22"/>
        </w:rPr>
        <w:t xml:space="preserve">. The level of investment provided by the foreigner is only an element in the assessment of the business plans and of the probability of business success. The extent to which this is assessed falls under the FO’s discretion. </w:t>
      </w:r>
    </w:p>
    <w:p w14:paraId="0AA8CB92" w14:textId="194E57DF" w:rsidR="000D3FFC" w:rsidRPr="00AA33EF" w:rsidRDefault="000D3FFC" w:rsidP="00AA33EF">
      <w:pPr>
        <w:spacing w:after="0" w:line="240" w:lineRule="auto"/>
        <w:jc w:val="both"/>
        <w:rPr>
          <w:sz w:val="22"/>
          <w:szCs w:val="22"/>
        </w:rPr>
      </w:pPr>
    </w:p>
    <w:p w14:paraId="54C04064" w14:textId="70E2AE4C" w:rsidR="00F07766" w:rsidRPr="00AA33EF" w:rsidRDefault="00F07766" w:rsidP="00AA33EF">
      <w:pPr>
        <w:spacing w:after="0" w:line="240" w:lineRule="auto"/>
        <w:jc w:val="both"/>
        <w:rPr>
          <w:sz w:val="22"/>
          <w:szCs w:val="22"/>
        </w:rPr>
      </w:pPr>
      <w:r w:rsidRPr="00AA33EF">
        <w:rPr>
          <w:sz w:val="22"/>
          <w:szCs w:val="22"/>
        </w:rPr>
        <w:lastRenderedPageBreak/>
        <w:t>Furthermore, t</w:t>
      </w:r>
      <w:r w:rsidR="000D3FFC" w:rsidRPr="00AA33EF">
        <w:rPr>
          <w:sz w:val="22"/>
          <w:szCs w:val="22"/>
        </w:rPr>
        <w:t xml:space="preserve">he </w:t>
      </w:r>
      <w:r w:rsidR="000D3FFC" w:rsidRPr="00AA33EF">
        <w:rPr>
          <w:b/>
          <w:sz w:val="22"/>
          <w:szCs w:val="22"/>
        </w:rPr>
        <w:t xml:space="preserve">physical presence </w:t>
      </w:r>
      <w:r w:rsidR="000D3FFC" w:rsidRPr="00AA33EF">
        <w:rPr>
          <w:sz w:val="22"/>
          <w:szCs w:val="22"/>
        </w:rPr>
        <w:t xml:space="preserve">of the foreigner is not strictly required neither for the temporary residence permit nor for the settlement permit. The </w:t>
      </w:r>
      <w:r w:rsidR="000D3FFC" w:rsidRPr="00AA33EF">
        <w:rPr>
          <w:b/>
          <w:sz w:val="22"/>
          <w:szCs w:val="22"/>
        </w:rPr>
        <w:t>temporary residence permit and the settlement permit will expire</w:t>
      </w:r>
      <w:r w:rsidR="000D3FFC" w:rsidRPr="00AA33EF">
        <w:rPr>
          <w:sz w:val="22"/>
          <w:szCs w:val="22"/>
        </w:rPr>
        <w:t xml:space="preserve"> when the foreigner is not present on the territory for a full period longer than six months or if the foreigner has left the territory for a reason which is not of a temporary nature. Nevertheless, the FO may grant the foreigner the right to leave the territory for a period longer than the six months without losing the settlement permit. </w:t>
      </w:r>
    </w:p>
    <w:p w14:paraId="49E33626" w14:textId="77777777" w:rsidR="00AA33EF" w:rsidRDefault="00AA33EF" w:rsidP="00AA33EF">
      <w:pPr>
        <w:spacing w:after="0" w:line="240" w:lineRule="auto"/>
        <w:jc w:val="both"/>
        <w:rPr>
          <w:sz w:val="22"/>
          <w:szCs w:val="22"/>
        </w:rPr>
      </w:pPr>
    </w:p>
    <w:p w14:paraId="68DA4F4D" w14:textId="4993E5C9" w:rsidR="00F07766" w:rsidRPr="00AA33EF" w:rsidRDefault="00F07766" w:rsidP="00AA33EF">
      <w:pPr>
        <w:spacing w:after="0" w:line="240" w:lineRule="auto"/>
        <w:jc w:val="both"/>
        <w:rPr>
          <w:sz w:val="22"/>
          <w:szCs w:val="22"/>
        </w:rPr>
      </w:pPr>
      <w:r w:rsidRPr="00AA33EF">
        <w:rPr>
          <w:sz w:val="22"/>
          <w:szCs w:val="22"/>
        </w:rPr>
        <w:t xml:space="preserve">Finally, as common condition in both the procedure for a temporary residence permit and a settlement permit, the applicant must pay the corresponding </w:t>
      </w:r>
      <w:r w:rsidRPr="00AA33EF">
        <w:rPr>
          <w:b/>
          <w:sz w:val="22"/>
          <w:szCs w:val="22"/>
        </w:rPr>
        <w:t>fees</w:t>
      </w:r>
      <w:r w:rsidRPr="00AA33EF">
        <w:rPr>
          <w:sz w:val="22"/>
          <w:szCs w:val="22"/>
        </w:rPr>
        <w:t xml:space="preserve">: EUR 100 (temporary residence) and EUR 124 (settlement permit). </w:t>
      </w:r>
    </w:p>
    <w:p w14:paraId="15294CC2" w14:textId="77777777" w:rsidR="000D3FFC" w:rsidRPr="00AA33EF" w:rsidRDefault="000D3FFC" w:rsidP="00AA33EF">
      <w:pPr>
        <w:spacing w:after="0" w:line="240" w:lineRule="auto"/>
        <w:jc w:val="both"/>
        <w:rPr>
          <w:i/>
          <w:sz w:val="22"/>
          <w:szCs w:val="22"/>
          <w:u w:val="single"/>
        </w:rPr>
      </w:pPr>
    </w:p>
    <w:p w14:paraId="6114FD47" w14:textId="6C727A60" w:rsidR="0021622D" w:rsidRPr="00AA33EF" w:rsidRDefault="000D3FFC" w:rsidP="00AA33EF">
      <w:pPr>
        <w:spacing w:after="0" w:line="240" w:lineRule="auto"/>
        <w:jc w:val="both"/>
        <w:rPr>
          <w:i/>
          <w:sz w:val="22"/>
          <w:szCs w:val="22"/>
        </w:rPr>
      </w:pPr>
      <w:r w:rsidRPr="00AA33EF">
        <w:rPr>
          <w:i/>
          <w:sz w:val="22"/>
          <w:szCs w:val="22"/>
          <w:u w:val="single"/>
        </w:rPr>
        <w:t>Conditions and procedure for the temporary residence permit</w:t>
      </w:r>
    </w:p>
    <w:p w14:paraId="0C12830F" w14:textId="57BFB844" w:rsidR="00320DAA" w:rsidRPr="00AA33EF" w:rsidRDefault="00D06F99" w:rsidP="00AA33EF">
      <w:pPr>
        <w:spacing w:after="0" w:line="240" w:lineRule="auto"/>
        <w:jc w:val="both"/>
        <w:rPr>
          <w:sz w:val="22"/>
          <w:szCs w:val="22"/>
        </w:rPr>
      </w:pPr>
      <w:r w:rsidRPr="00AA33EF">
        <w:rPr>
          <w:sz w:val="22"/>
          <w:szCs w:val="22"/>
        </w:rPr>
        <w:t>To obtain</w:t>
      </w:r>
      <w:r w:rsidR="00320DAA" w:rsidRPr="00AA33EF">
        <w:rPr>
          <w:sz w:val="22"/>
          <w:szCs w:val="22"/>
        </w:rPr>
        <w:t xml:space="preserve"> a temporary residence permit for the purpose of self-employment </w:t>
      </w:r>
      <w:r w:rsidR="00E07DA6" w:rsidRPr="00AA33EF">
        <w:rPr>
          <w:sz w:val="22"/>
          <w:szCs w:val="22"/>
        </w:rPr>
        <w:t xml:space="preserve">the </w:t>
      </w:r>
      <w:r w:rsidR="00E07DA6" w:rsidRPr="00AA33EF">
        <w:rPr>
          <w:b/>
          <w:sz w:val="22"/>
          <w:szCs w:val="22"/>
        </w:rPr>
        <w:t xml:space="preserve">following conditions </w:t>
      </w:r>
      <w:r w:rsidR="00E07DA6" w:rsidRPr="00AA33EF">
        <w:rPr>
          <w:sz w:val="22"/>
          <w:szCs w:val="22"/>
        </w:rPr>
        <w:t>have to be met</w:t>
      </w:r>
      <w:r w:rsidR="00320DAA" w:rsidRPr="00AA33EF">
        <w:rPr>
          <w:sz w:val="22"/>
          <w:szCs w:val="22"/>
        </w:rPr>
        <w:t>:</w:t>
      </w:r>
    </w:p>
    <w:p w14:paraId="3D3A867B" w14:textId="1256C466"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the candidate’s subsistence must be secure;</w:t>
      </w:r>
    </w:p>
    <w:p w14:paraId="0945E0B9" w14:textId="2D884E27"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 xml:space="preserve">the candidate’s identity </w:t>
      </w:r>
      <w:r w:rsidR="006A00B1" w:rsidRPr="00AA33EF">
        <w:rPr>
          <w:sz w:val="22"/>
          <w:szCs w:val="22"/>
        </w:rPr>
        <w:t xml:space="preserve">and nationality </w:t>
      </w:r>
      <w:r w:rsidR="00AA33EF" w:rsidRPr="00AA33EF">
        <w:rPr>
          <w:sz w:val="22"/>
          <w:szCs w:val="22"/>
        </w:rPr>
        <w:t>have</w:t>
      </w:r>
      <w:r w:rsidRPr="00AA33EF">
        <w:rPr>
          <w:sz w:val="22"/>
          <w:szCs w:val="22"/>
        </w:rPr>
        <w:t xml:space="preserve"> to be established;</w:t>
      </w:r>
    </w:p>
    <w:p w14:paraId="58CAC9FC" w14:textId="7A462C50"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 xml:space="preserve">there </w:t>
      </w:r>
      <w:r w:rsidR="00D06F99" w:rsidRPr="00AA33EF">
        <w:rPr>
          <w:sz w:val="22"/>
          <w:szCs w:val="22"/>
        </w:rPr>
        <w:t>must be</w:t>
      </w:r>
      <w:r w:rsidRPr="00AA33EF">
        <w:rPr>
          <w:sz w:val="22"/>
          <w:szCs w:val="22"/>
        </w:rPr>
        <w:t xml:space="preserve"> no public interest in expelling the candidate;</w:t>
      </w:r>
    </w:p>
    <w:p w14:paraId="2C1E8B97" w14:textId="711EEE66"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the foreigner’s residence does not compromise or jeopardise the interests of the Federal Republic of Germany for any kind of reason;</w:t>
      </w:r>
    </w:p>
    <w:p w14:paraId="422F8540" w14:textId="77777777" w:rsidR="006A00B1" w:rsidRPr="00AA33EF" w:rsidRDefault="00320DAA" w:rsidP="00AA33EF">
      <w:pPr>
        <w:pStyle w:val="ListParagraph"/>
        <w:numPr>
          <w:ilvl w:val="0"/>
          <w:numId w:val="19"/>
        </w:numPr>
        <w:jc w:val="both"/>
        <w:rPr>
          <w:sz w:val="22"/>
          <w:szCs w:val="22"/>
        </w:rPr>
      </w:pPr>
      <w:r w:rsidRPr="00AA33EF">
        <w:rPr>
          <w:sz w:val="22"/>
          <w:szCs w:val="22"/>
        </w:rPr>
        <w:t>the candidate has entered the country with the necessary visa;</w:t>
      </w:r>
    </w:p>
    <w:p w14:paraId="1D046928" w14:textId="477AD248" w:rsidR="00320DAA" w:rsidRPr="00AA33EF" w:rsidRDefault="006A00B1" w:rsidP="00AA33EF">
      <w:pPr>
        <w:pStyle w:val="ListParagraph"/>
        <w:numPr>
          <w:ilvl w:val="0"/>
          <w:numId w:val="19"/>
        </w:numPr>
        <w:jc w:val="both"/>
        <w:rPr>
          <w:sz w:val="22"/>
          <w:szCs w:val="22"/>
        </w:rPr>
      </w:pPr>
      <w:r w:rsidRPr="00AA33EF">
        <w:rPr>
          <w:sz w:val="22"/>
          <w:szCs w:val="22"/>
        </w:rPr>
        <w:t xml:space="preserve">the candidate </w:t>
      </w:r>
      <w:r w:rsidR="004725DB" w:rsidRPr="00AA33EF">
        <w:rPr>
          <w:sz w:val="22"/>
          <w:szCs w:val="22"/>
        </w:rPr>
        <w:t>has</w:t>
      </w:r>
      <w:r w:rsidRPr="00AA33EF">
        <w:rPr>
          <w:i/>
          <w:sz w:val="22"/>
          <w:szCs w:val="22"/>
        </w:rPr>
        <w:t xml:space="preserve"> </w:t>
      </w:r>
      <w:r w:rsidRPr="00AA33EF">
        <w:rPr>
          <w:sz w:val="22"/>
          <w:szCs w:val="22"/>
        </w:rPr>
        <w:t xml:space="preserve">provided the key information required for granting the title in </w:t>
      </w:r>
      <w:r w:rsidR="00D06F99" w:rsidRPr="00AA33EF">
        <w:rPr>
          <w:sz w:val="22"/>
          <w:szCs w:val="22"/>
        </w:rPr>
        <w:t xml:space="preserve">the </w:t>
      </w:r>
      <w:r w:rsidRPr="00AA33EF">
        <w:rPr>
          <w:sz w:val="22"/>
          <w:szCs w:val="22"/>
        </w:rPr>
        <w:t>visa application;</w:t>
      </w:r>
    </w:p>
    <w:p w14:paraId="4D42F846" w14:textId="77777777"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 xml:space="preserve">there is an economic reason for granting the temporary residence permit </w:t>
      </w:r>
      <w:r w:rsidRPr="00AA33EF">
        <w:rPr>
          <w:sz w:val="22"/>
          <w:szCs w:val="22"/>
          <w:u w:val="single"/>
        </w:rPr>
        <w:t>or</w:t>
      </w:r>
      <w:r w:rsidRPr="00AA33EF">
        <w:rPr>
          <w:sz w:val="22"/>
          <w:szCs w:val="22"/>
        </w:rPr>
        <w:t xml:space="preserve"> there is a regional need for granting the temporary residence permit;</w:t>
      </w:r>
    </w:p>
    <w:p w14:paraId="78482B02" w14:textId="4DE1DC3D" w:rsidR="004725DB" w:rsidRPr="00AA33EF" w:rsidRDefault="00320DAA" w:rsidP="00AA33EF">
      <w:pPr>
        <w:pStyle w:val="ListParagraph"/>
        <w:numPr>
          <w:ilvl w:val="0"/>
          <w:numId w:val="19"/>
        </w:numPr>
        <w:spacing w:after="0" w:line="240" w:lineRule="auto"/>
        <w:jc w:val="both"/>
        <w:rPr>
          <w:sz w:val="22"/>
          <w:szCs w:val="22"/>
        </w:rPr>
      </w:pPr>
      <w:r w:rsidRPr="00AA33EF">
        <w:rPr>
          <w:sz w:val="22"/>
          <w:szCs w:val="22"/>
        </w:rPr>
        <w:t>the economic activity is expected to have positive effects on the economy</w:t>
      </w:r>
      <w:r w:rsidR="00D06F99" w:rsidRPr="00AA33EF">
        <w:rPr>
          <w:sz w:val="22"/>
          <w:szCs w:val="22"/>
        </w:rPr>
        <w:t>;</w:t>
      </w:r>
      <w:r w:rsidRPr="00AA33EF">
        <w:rPr>
          <w:sz w:val="22"/>
          <w:szCs w:val="22"/>
        </w:rPr>
        <w:t xml:space="preserve"> </w:t>
      </w:r>
    </w:p>
    <w:p w14:paraId="1D3B7FFB" w14:textId="3F8D5149" w:rsidR="00320DAA" w:rsidRPr="00AA33EF" w:rsidRDefault="00320DAA" w:rsidP="00AA33EF">
      <w:pPr>
        <w:pStyle w:val="ListParagraph"/>
        <w:numPr>
          <w:ilvl w:val="0"/>
          <w:numId w:val="19"/>
        </w:numPr>
        <w:spacing w:after="0" w:line="240" w:lineRule="auto"/>
        <w:jc w:val="both"/>
        <w:rPr>
          <w:sz w:val="22"/>
          <w:szCs w:val="22"/>
        </w:rPr>
      </w:pPr>
      <w:r w:rsidRPr="00AA33EF">
        <w:rPr>
          <w:sz w:val="22"/>
          <w:szCs w:val="22"/>
        </w:rPr>
        <w:t xml:space="preserve">the candidate has the personal capital or an approved loan to realise the business idea, which </w:t>
      </w:r>
      <w:r w:rsidR="00D06F99" w:rsidRPr="00AA33EF">
        <w:rPr>
          <w:sz w:val="22"/>
          <w:szCs w:val="22"/>
        </w:rPr>
        <w:t>s/</w:t>
      </w:r>
      <w:r w:rsidRPr="00AA33EF">
        <w:rPr>
          <w:sz w:val="22"/>
          <w:szCs w:val="22"/>
        </w:rPr>
        <w:t xml:space="preserve">he wants to pursue with </w:t>
      </w:r>
      <w:r w:rsidR="00D06F99" w:rsidRPr="00AA33EF">
        <w:rPr>
          <w:sz w:val="22"/>
          <w:szCs w:val="22"/>
        </w:rPr>
        <w:t>her/</w:t>
      </w:r>
      <w:r w:rsidRPr="00AA33EF">
        <w:rPr>
          <w:sz w:val="22"/>
          <w:szCs w:val="22"/>
        </w:rPr>
        <w:t>his economic activities as a self-employed</w:t>
      </w:r>
      <w:r w:rsidR="004725DB" w:rsidRPr="00AA33EF">
        <w:rPr>
          <w:sz w:val="22"/>
          <w:szCs w:val="22"/>
        </w:rPr>
        <w:t>;</w:t>
      </w:r>
    </w:p>
    <w:p w14:paraId="17C3A2B5" w14:textId="212F7C1E" w:rsidR="004725DB" w:rsidRPr="00AA33EF" w:rsidRDefault="008218C4" w:rsidP="00AA33EF">
      <w:pPr>
        <w:pStyle w:val="ListParagraph"/>
        <w:numPr>
          <w:ilvl w:val="0"/>
          <w:numId w:val="19"/>
        </w:numPr>
        <w:spacing w:after="0" w:line="240" w:lineRule="auto"/>
        <w:jc w:val="both"/>
        <w:rPr>
          <w:sz w:val="22"/>
          <w:szCs w:val="22"/>
        </w:rPr>
      </w:pPr>
      <w:r w:rsidRPr="00AA33EF">
        <w:rPr>
          <w:sz w:val="22"/>
          <w:szCs w:val="22"/>
        </w:rPr>
        <w:t>i</w:t>
      </w:r>
      <w:r w:rsidR="004725DB" w:rsidRPr="00AA33EF">
        <w:rPr>
          <w:sz w:val="22"/>
          <w:szCs w:val="22"/>
        </w:rPr>
        <w:t xml:space="preserve">f the candidate is older than 45 years, </w:t>
      </w:r>
      <w:r w:rsidR="00D06F99" w:rsidRPr="00AA33EF">
        <w:rPr>
          <w:sz w:val="22"/>
          <w:szCs w:val="22"/>
        </w:rPr>
        <w:t>s/</w:t>
      </w:r>
      <w:r w:rsidR="004725DB" w:rsidRPr="00AA33EF">
        <w:rPr>
          <w:sz w:val="22"/>
          <w:szCs w:val="22"/>
        </w:rPr>
        <w:t>he has to possess the necessary means for securing subsistence when the person is of old-age, such as a pension.</w:t>
      </w:r>
    </w:p>
    <w:p w14:paraId="468A536D" w14:textId="16C0131F" w:rsidR="004725DB" w:rsidRPr="00AA33EF" w:rsidRDefault="004725DB" w:rsidP="00AA33EF">
      <w:pPr>
        <w:spacing w:after="0" w:line="240" w:lineRule="auto"/>
        <w:jc w:val="both"/>
        <w:rPr>
          <w:sz w:val="22"/>
          <w:szCs w:val="22"/>
        </w:rPr>
      </w:pPr>
    </w:p>
    <w:p w14:paraId="54CB6A04" w14:textId="1AF757B6" w:rsidR="0033761D" w:rsidRPr="00AA33EF" w:rsidRDefault="00D94CAF" w:rsidP="00AA33EF">
      <w:pPr>
        <w:spacing w:after="0" w:line="240" w:lineRule="auto"/>
        <w:jc w:val="both"/>
        <w:rPr>
          <w:sz w:val="22"/>
          <w:szCs w:val="22"/>
        </w:rPr>
      </w:pPr>
      <w:r w:rsidRPr="00AA33EF">
        <w:rPr>
          <w:sz w:val="22"/>
          <w:szCs w:val="22"/>
        </w:rPr>
        <w:t xml:space="preserve">The application for the </w:t>
      </w:r>
      <w:r w:rsidR="008241B9" w:rsidRPr="00AA33EF">
        <w:rPr>
          <w:sz w:val="22"/>
          <w:szCs w:val="22"/>
        </w:rPr>
        <w:t xml:space="preserve">temporary residence permit </w:t>
      </w:r>
      <w:r w:rsidR="004D0BC1" w:rsidRPr="00AA33EF">
        <w:rPr>
          <w:sz w:val="22"/>
          <w:szCs w:val="22"/>
        </w:rPr>
        <w:t>for the pursuit of an economic activity as a self-</w:t>
      </w:r>
      <w:r w:rsidR="00BC32EF" w:rsidRPr="00AA33EF">
        <w:rPr>
          <w:sz w:val="22"/>
          <w:szCs w:val="22"/>
        </w:rPr>
        <w:t>employed has</w:t>
      </w:r>
      <w:r w:rsidRPr="00AA33EF">
        <w:rPr>
          <w:sz w:val="22"/>
          <w:szCs w:val="22"/>
        </w:rPr>
        <w:t xml:space="preserve"> to be done at </w:t>
      </w:r>
      <w:r w:rsidR="008241B9" w:rsidRPr="00AA33EF">
        <w:rPr>
          <w:sz w:val="22"/>
          <w:szCs w:val="22"/>
        </w:rPr>
        <w:t xml:space="preserve">one of the </w:t>
      </w:r>
      <w:r w:rsidRPr="00AA33EF">
        <w:rPr>
          <w:sz w:val="22"/>
          <w:szCs w:val="22"/>
        </w:rPr>
        <w:t>FO</w:t>
      </w:r>
      <w:r w:rsidR="008241B9" w:rsidRPr="00AA33EF">
        <w:rPr>
          <w:sz w:val="22"/>
          <w:szCs w:val="22"/>
        </w:rPr>
        <w:t>s</w:t>
      </w:r>
      <w:r w:rsidRPr="00AA33EF">
        <w:rPr>
          <w:sz w:val="22"/>
          <w:szCs w:val="22"/>
        </w:rPr>
        <w:t xml:space="preserve"> or abroad, at one of the German diplomatic missions. In any case, </w:t>
      </w:r>
      <w:r w:rsidR="004725DB" w:rsidRPr="00AA33EF">
        <w:rPr>
          <w:sz w:val="22"/>
          <w:szCs w:val="22"/>
        </w:rPr>
        <w:t xml:space="preserve">it is </w:t>
      </w:r>
      <w:r w:rsidRPr="00AA33EF">
        <w:rPr>
          <w:sz w:val="22"/>
          <w:szCs w:val="22"/>
        </w:rPr>
        <w:t>the FO</w:t>
      </w:r>
      <w:r w:rsidR="004725DB" w:rsidRPr="00AA33EF">
        <w:rPr>
          <w:sz w:val="22"/>
          <w:szCs w:val="22"/>
        </w:rPr>
        <w:t xml:space="preserve">, </w:t>
      </w:r>
      <w:r w:rsidR="00D06F99" w:rsidRPr="00AA33EF">
        <w:rPr>
          <w:sz w:val="22"/>
          <w:szCs w:val="22"/>
        </w:rPr>
        <w:t>that</w:t>
      </w:r>
      <w:r w:rsidRPr="00AA33EF">
        <w:rPr>
          <w:sz w:val="22"/>
          <w:szCs w:val="22"/>
        </w:rPr>
        <w:t xml:space="preserve"> </w:t>
      </w:r>
      <w:r w:rsidR="00E07DA6" w:rsidRPr="00AA33EF">
        <w:rPr>
          <w:sz w:val="22"/>
          <w:szCs w:val="22"/>
        </w:rPr>
        <w:t xml:space="preserve">is </w:t>
      </w:r>
      <w:r w:rsidR="00D06F99" w:rsidRPr="00AA33EF">
        <w:rPr>
          <w:sz w:val="22"/>
          <w:szCs w:val="22"/>
        </w:rPr>
        <w:t xml:space="preserve">the </w:t>
      </w:r>
      <w:r w:rsidR="0007559B" w:rsidRPr="00AA33EF">
        <w:rPr>
          <w:sz w:val="22"/>
          <w:szCs w:val="22"/>
        </w:rPr>
        <w:t xml:space="preserve">competent authority in making </w:t>
      </w:r>
      <w:r w:rsidRPr="00AA33EF">
        <w:rPr>
          <w:sz w:val="22"/>
          <w:szCs w:val="22"/>
        </w:rPr>
        <w:t xml:space="preserve">the decision on granting the residence rights. When </w:t>
      </w:r>
      <w:r w:rsidR="004725DB" w:rsidRPr="00AA33EF">
        <w:rPr>
          <w:sz w:val="22"/>
          <w:szCs w:val="22"/>
        </w:rPr>
        <w:t xml:space="preserve">making </w:t>
      </w:r>
      <w:r w:rsidR="00D06F99" w:rsidRPr="00AA33EF">
        <w:rPr>
          <w:sz w:val="22"/>
          <w:szCs w:val="22"/>
        </w:rPr>
        <w:t>the</w:t>
      </w:r>
      <w:r w:rsidR="004725DB" w:rsidRPr="00AA33EF">
        <w:rPr>
          <w:sz w:val="22"/>
          <w:szCs w:val="22"/>
        </w:rPr>
        <w:t xml:space="preserve"> application</w:t>
      </w:r>
      <w:r w:rsidRPr="00AA33EF">
        <w:rPr>
          <w:sz w:val="22"/>
          <w:szCs w:val="22"/>
        </w:rPr>
        <w:t xml:space="preserve">, </w:t>
      </w:r>
      <w:r w:rsidRPr="00AA33EF">
        <w:rPr>
          <w:b/>
          <w:sz w:val="22"/>
          <w:szCs w:val="22"/>
        </w:rPr>
        <w:t xml:space="preserve">the foreigner </w:t>
      </w:r>
      <w:r w:rsidR="00FD2EAD" w:rsidRPr="00AA33EF">
        <w:rPr>
          <w:b/>
          <w:sz w:val="22"/>
          <w:szCs w:val="22"/>
        </w:rPr>
        <w:t>must</w:t>
      </w:r>
      <w:r w:rsidRPr="00AA33EF">
        <w:rPr>
          <w:b/>
          <w:sz w:val="22"/>
          <w:szCs w:val="22"/>
        </w:rPr>
        <w:t xml:space="preserve"> provide the necessary proof</w:t>
      </w:r>
      <w:r w:rsidRPr="00AA33EF">
        <w:rPr>
          <w:sz w:val="22"/>
          <w:szCs w:val="22"/>
        </w:rPr>
        <w:t xml:space="preserve"> that</w:t>
      </w:r>
      <w:r w:rsidR="00FD2EAD" w:rsidRPr="00AA33EF">
        <w:rPr>
          <w:sz w:val="22"/>
          <w:szCs w:val="22"/>
        </w:rPr>
        <w:t xml:space="preserve"> the</w:t>
      </w:r>
      <w:r w:rsidRPr="00AA33EF">
        <w:rPr>
          <w:sz w:val="22"/>
          <w:szCs w:val="22"/>
        </w:rPr>
        <w:t xml:space="preserve"> business idea will be successful and is expected to have positive effects on the </w:t>
      </w:r>
      <w:r w:rsidR="00FD2EAD" w:rsidRPr="00AA33EF">
        <w:rPr>
          <w:sz w:val="22"/>
          <w:szCs w:val="22"/>
        </w:rPr>
        <w:t xml:space="preserve">German </w:t>
      </w:r>
      <w:r w:rsidRPr="00AA33EF">
        <w:rPr>
          <w:sz w:val="22"/>
          <w:szCs w:val="22"/>
        </w:rPr>
        <w:t xml:space="preserve">economy. Therefore, the </w:t>
      </w:r>
      <w:r w:rsidRPr="00AA33EF">
        <w:rPr>
          <w:b/>
          <w:sz w:val="22"/>
          <w:szCs w:val="22"/>
        </w:rPr>
        <w:t xml:space="preserve">candidate </w:t>
      </w:r>
      <w:r w:rsidR="00FD2EAD" w:rsidRPr="00AA33EF">
        <w:rPr>
          <w:b/>
          <w:sz w:val="22"/>
          <w:szCs w:val="22"/>
        </w:rPr>
        <w:t>must</w:t>
      </w:r>
      <w:r w:rsidRPr="00AA33EF">
        <w:rPr>
          <w:b/>
          <w:sz w:val="22"/>
          <w:szCs w:val="22"/>
        </w:rPr>
        <w:t xml:space="preserve"> provide a business plan, a financing plan and a capital requirements plan</w:t>
      </w:r>
      <w:r w:rsidRPr="00AA33EF">
        <w:rPr>
          <w:sz w:val="22"/>
          <w:szCs w:val="22"/>
        </w:rPr>
        <w:t>.</w:t>
      </w:r>
    </w:p>
    <w:p w14:paraId="2F46B5CB" w14:textId="77777777" w:rsidR="00E96E77" w:rsidRPr="00AA33EF" w:rsidRDefault="00E96E77" w:rsidP="00AA33EF">
      <w:pPr>
        <w:spacing w:after="0" w:line="240" w:lineRule="auto"/>
        <w:jc w:val="both"/>
        <w:rPr>
          <w:sz w:val="22"/>
          <w:szCs w:val="22"/>
        </w:rPr>
      </w:pPr>
    </w:p>
    <w:p w14:paraId="5EED0AD1" w14:textId="51F24EC2" w:rsidR="00D94CAF" w:rsidRPr="00AA33EF" w:rsidRDefault="0033761D" w:rsidP="00AA33EF">
      <w:pPr>
        <w:spacing w:after="0" w:line="240" w:lineRule="auto"/>
        <w:jc w:val="both"/>
        <w:rPr>
          <w:sz w:val="22"/>
          <w:szCs w:val="22"/>
        </w:rPr>
      </w:pPr>
      <w:r w:rsidRPr="00AA33EF">
        <w:rPr>
          <w:sz w:val="22"/>
          <w:szCs w:val="22"/>
        </w:rPr>
        <w:t xml:space="preserve">On the basis of the information provided by the foreigner, the </w:t>
      </w:r>
      <w:r w:rsidRPr="00AA33EF">
        <w:rPr>
          <w:b/>
          <w:sz w:val="22"/>
          <w:szCs w:val="22"/>
        </w:rPr>
        <w:t>FO will make an assessment</w:t>
      </w:r>
      <w:r w:rsidRPr="00AA33EF">
        <w:rPr>
          <w:sz w:val="22"/>
          <w:szCs w:val="22"/>
        </w:rPr>
        <w:t xml:space="preserve"> as to whether the conditions for residence rights for the pursuit of an economic activity as a self-employed are fulfilled. </w:t>
      </w:r>
      <w:r w:rsidR="00EC5DE0" w:rsidRPr="00AA33EF">
        <w:rPr>
          <w:sz w:val="22"/>
          <w:szCs w:val="22"/>
        </w:rPr>
        <w:t>In its assessment</w:t>
      </w:r>
      <w:r w:rsidRPr="00AA33EF">
        <w:rPr>
          <w:sz w:val="22"/>
          <w:szCs w:val="22"/>
        </w:rPr>
        <w:t xml:space="preserve">, </w:t>
      </w:r>
      <w:r w:rsidR="00EC5DE0" w:rsidRPr="00AA33EF">
        <w:rPr>
          <w:sz w:val="22"/>
          <w:szCs w:val="22"/>
        </w:rPr>
        <w:t>the FO has to consider the binding assessment guidelines, which are provided in the Residence Act and in the General Residence Act Implementation Instruction.</w:t>
      </w:r>
      <w:r w:rsidR="00D06F99" w:rsidRPr="00AA33EF">
        <w:rPr>
          <w:rStyle w:val="FootnoteReference"/>
          <w:sz w:val="22"/>
          <w:szCs w:val="22"/>
        </w:rPr>
        <w:footnoteReference w:id="3"/>
      </w:r>
      <w:r w:rsidR="00EC5DE0" w:rsidRPr="00AA33EF">
        <w:rPr>
          <w:sz w:val="22"/>
          <w:szCs w:val="22"/>
        </w:rPr>
        <w:t xml:space="preserve"> These binding guidelines include the following </w:t>
      </w:r>
      <w:r w:rsidR="00EC5DE0" w:rsidRPr="00AA33EF">
        <w:rPr>
          <w:b/>
          <w:sz w:val="22"/>
          <w:szCs w:val="22"/>
        </w:rPr>
        <w:t>elements, which are to be considered</w:t>
      </w:r>
      <w:r w:rsidR="00EC5DE0" w:rsidRPr="00AA33EF">
        <w:rPr>
          <w:sz w:val="22"/>
          <w:szCs w:val="22"/>
        </w:rPr>
        <w:t>:</w:t>
      </w:r>
      <w:r w:rsidR="00E96E77" w:rsidRPr="00AA33EF">
        <w:rPr>
          <w:sz w:val="22"/>
          <w:szCs w:val="22"/>
        </w:rPr>
        <w:t xml:space="preserve"> </w:t>
      </w:r>
      <w:r w:rsidR="00EC5DE0" w:rsidRPr="00AA33EF">
        <w:rPr>
          <w:sz w:val="22"/>
          <w:szCs w:val="22"/>
        </w:rPr>
        <w:t>the viability of the business idea;</w:t>
      </w:r>
      <w:r w:rsidR="00E96E77" w:rsidRPr="00AA33EF">
        <w:rPr>
          <w:sz w:val="22"/>
          <w:szCs w:val="22"/>
        </w:rPr>
        <w:t xml:space="preserve"> </w:t>
      </w:r>
      <w:r w:rsidR="00EC5DE0" w:rsidRPr="00AA33EF">
        <w:rPr>
          <w:sz w:val="22"/>
          <w:szCs w:val="22"/>
        </w:rPr>
        <w:t>the entrepreneurial experience of the applicant;</w:t>
      </w:r>
      <w:r w:rsidR="00E96E77" w:rsidRPr="00AA33EF">
        <w:rPr>
          <w:sz w:val="22"/>
          <w:szCs w:val="22"/>
        </w:rPr>
        <w:t xml:space="preserve"> </w:t>
      </w:r>
      <w:r w:rsidR="00EC5DE0" w:rsidRPr="00AA33EF">
        <w:rPr>
          <w:sz w:val="22"/>
          <w:szCs w:val="22"/>
        </w:rPr>
        <w:t>the level of capital investment;</w:t>
      </w:r>
      <w:r w:rsidR="00E96E77" w:rsidRPr="00AA33EF">
        <w:rPr>
          <w:sz w:val="22"/>
          <w:szCs w:val="22"/>
        </w:rPr>
        <w:t xml:space="preserve"> </w:t>
      </w:r>
      <w:r w:rsidR="00EC5DE0" w:rsidRPr="00AA33EF">
        <w:rPr>
          <w:sz w:val="22"/>
          <w:szCs w:val="22"/>
        </w:rPr>
        <w:t>effect on employment; contribution to training and research.</w:t>
      </w:r>
    </w:p>
    <w:p w14:paraId="46C4EE8C" w14:textId="77777777" w:rsidR="00D94CAF" w:rsidRPr="00AA33EF" w:rsidRDefault="00D94CAF" w:rsidP="00AA33EF">
      <w:pPr>
        <w:spacing w:after="0" w:line="240" w:lineRule="auto"/>
        <w:jc w:val="both"/>
        <w:rPr>
          <w:sz w:val="22"/>
          <w:szCs w:val="22"/>
        </w:rPr>
      </w:pPr>
    </w:p>
    <w:p w14:paraId="0C004156" w14:textId="473934FD" w:rsidR="00D94CAF" w:rsidRPr="00AA33EF" w:rsidRDefault="00FD2EAD" w:rsidP="00AA33EF">
      <w:pPr>
        <w:spacing w:after="0" w:line="240" w:lineRule="auto"/>
        <w:jc w:val="both"/>
        <w:rPr>
          <w:sz w:val="22"/>
          <w:szCs w:val="22"/>
        </w:rPr>
      </w:pPr>
      <w:r w:rsidRPr="00AA33EF">
        <w:rPr>
          <w:sz w:val="22"/>
          <w:szCs w:val="22"/>
        </w:rPr>
        <w:t>The</w:t>
      </w:r>
      <w:r w:rsidR="008241B9" w:rsidRPr="00AA33EF">
        <w:rPr>
          <w:sz w:val="22"/>
          <w:szCs w:val="22"/>
        </w:rPr>
        <w:t xml:space="preserve"> Residence Act includes the obligation for the FO</w:t>
      </w:r>
      <w:r w:rsidR="00D94CAF" w:rsidRPr="00AA33EF">
        <w:rPr>
          <w:b/>
          <w:sz w:val="22"/>
          <w:szCs w:val="22"/>
        </w:rPr>
        <w:t xml:space="preserve"> </w:t>
      </w:r>
      <w:r w:rsidR="008241B9" w:rsidRPr="00AA33EF">
        <w:rPr>
          <w:b/>
          <w:sz w:val="22"/>
          <w:szCs w:val="22"/>
        </w:rPr>
        <w:t xml:space="preserve">to </w:t>
      </w:r>
      <w:r w:rsidRPr="00AA33EF">
        <w:rPr>
          <w:b/>
          <w:sz w:val="22"/>
          <w:szCs w:val="22"/>
        </w:rPr>
        <w:t>seek the</w:t>
      </w:r>
      <w:r w:rsidR="00D94CAF" w:rsidRPr="00AA33EF">
        <w:rPr>
          <w:b/>
          <w:sz w:val="22"/>
          <w:szCs w:val="22"/>
        </w:rPr>
        <w:t xml:space="preserve"> advice </w:t>
      </w:r>
      <w:r w:rsidRPr="00AA33EF">
        <w:rPr>
          <w:b/>
          <w:sz w:val="22"/>
          <w:szCs w:val="22"/>
        </w:rPr>
        <w:t xml:space="preserve">of </w:t>
      </w:r>
      <w:r w:rsidR="00D94CAF" w:rsidRPr="00AA33EF">
        <w:rPr>
          <w:b/>
          <w:sz w:val="22"/>
          <w:szCs w:val="22"/>
        </w:rPr>
        <w:t>one of the trade and business bodies</w:t>
      </w:r>
      <w:r w:rsidR="00D94CAF" w:rsidRPr="00AA33EF">
        <w:rPr>
          <w:sz w:val="22"/>
          <w:szCs w:val="22"/>
        </w:rPr>
        <w:t>, such as the chamber of commerce or the professional chambers. The involvement of the trade and business bodies provides the necessary expertise and assistance to the FO on the technical or specialised aspects concerning the conditions required.</w:t>
      </w:r>
      <w:r w:rsidR="008241B9" w:rsidRPr="00AA33EF">
        <w:rPr>
          <w:sz w:val="22"/>
          <w:szCs w:val="22"/>
        </w:rPr>
        <w:t xml:space="preserve"> In particular, on the assessment of the business and financial plans.</w:t>
      </w:r>
      <w:r w:rsidR="00D94CAF" w:rsidRPr="00AA33EF">
        <w:rPr>
          <w:sz w:val="22"/>
          <w:szCs w:val="22"/>
        </w:rPr>
        <w:t xml:space="preserve"> </w:t>
      </w:r>
      <w:r w:rsidR="008241B9" w:rsidRPr="00AA33EF">
        <w:rPr>
          <w:sz w:val="22"/>
          <w:szCs w:val="22"/>
        </w:rPr>
        <w:t xml:space="preserve">However, this </w:t>
      </w:r>
      <w:r w:rsidR="00D94CAF" w:rsidRPr="00AA33EF">
        <w:rPr>
          <w:b/>
          <w:sz w:val="22"/>
          <w:szCs w:val="22"/>
        </w:rPr>
        <w:t>advice is not binding</w:t>
      </w:r>
      <w:r w:rsidR="00D94CAF" w:rsidRPr="00AA33EF">
        <w:rPr>
          <w:sz w:val="22"/>
          <w:szCs w:val="22"/>
        </w:rPr>
        <w:t xml:space="preserve"> </w:t>
      </w:r>
      <w:r w:rsidRPr="00AA33EF">
        <w:rPr>
          <w:sz w:val="22"/>
          <w:szCs w:val="22"/>
        </w:rPr>
        <w:t xml:space="preserve">on </w:t>
      </w:r>
      <w:r w:rsidR="00D94CAF" w:rsidRPr="00AA33EF">
        <w:rPr>
          <w:sz w:val="22"/>
          <w:szCs w:val="22"/>
        </w:rPr>
        <w:t xml:space="preserve">the FO. </w:t>
      </w:r>
    </w:p>
    <w:p w14:paraId="566814AC" w14:textId="730EC9D2" w:rsidR="00F80B8E" w:rsidRPr="00AA33EF" w:rsidRDefault="00F80B8E" w:rsidP="00AA33EF">
      <w:pPr>
        <w:spacing w:after="0" w:line="240" w:lineRule="auto"/>
        <w:jc w:val="both"/>
        <w:rPr>
          <w:sz w:val="22"/>
          <w:szCs w:val="22"/>
        </w:rPr>
      </w:pPr>
    </w:p>
    <w:p w14:paraId="71EDFD0C" w14:textId="39E4A774" w:rsidR="00F80B8E" w:rsidRPr="00AA33EF" w:rsidRDefault="00F80B8E" w:rsidP="00AA33EF">
      <w:pPr>
        <w:spacing w:after="0" w:line="240" w:lineRule="auto"/>
        <w:jc w:val="both"/>
        <w:rPr>
          <w:sz w:val="22"/>
          <w:szCs w:val="22"/>
        </w:rPr>
      </w:pPr>
      <w:r w:rsidRPr="00AA33EF">
        <w:rPr>
          <w:sz w:val="22"/>
          <w:szCs w:val="22"/>
        </w:rPr>
        <w:lastRenderedPageBreak/>
        <w:t xml:space="preserve">The </w:t>
      </w:r>
      <w:r w:rsidRPr="00AA33EF">
        <w:rPr>
          <w:b/>
          <w:sz w:val="22"/>
          <w:szCs w:val="22"/>
        </w:rPr>
        <w:t>final decision as to whether the conditions are fulfilled and whether the foreigner will be granted residence rights lies with the FO</w:t>
      </w:r>
      <w:r w:rsidR="00D06F99" w:rsidRPr="00AA33EF">
        <w:rPr>
          <w:sz w:val="22"/>
          <w:szCs w:val="22"/>
        </w:rPr>
        <w:t>.</w:t>
      </w:r>
      <w:r w:rsidRPr="00AA33EF">
        <w:rPr>
          <w:sz w:val="22"/>
          <w:szCs w:val="22"/>
        </w:rPr>
        <w:t xml:space="preserve"> The decision is based on the fulfilment of the aforementioned conditions. It should be noted that the way </w:t>
      </w:r>
      <w:r w:rsidR="00D06F99" w:rsidRPr="00AA33EF">
        <w:rPr>
          <w:sz w:val="22"/>
          <w:szCs w:val="22"/>
        </w:rPr>
        <w:t>in which</w:t>
      </w:r>
      <w:r w:rsidRPr="00AA33EF">
        <w:rPr>
          <w:sz w:val="22"/>
          <w:szCs w:val="22"/>
        </w:rPr>
        <w:t xml:space="preserve"> these conditions are assessed differs widely between the different locally organised FOs. Therefore, no global overview is available.  The reason for this is that </w:t>
      </w:r>
      <w:r w:rsidR="00D06F99" w:rsidRPr="00AA33EF">
        <w:rPr>
          <w:sz w:val="22"/>
          <w:szCs w:val="22"/>
        </w:rPr>
        <w:t xml:space="preserve">the </w:t>
      </w:r>
      <w:r w:rsidRPr="00AA33EF">
        <w:rPr>
          <w:sz w:val="22"/>
          <w:szCs w:val="22"/>
        </w:rPr>
        <w:t>Residence Act provides the FO with a wide discretion to interpret the conditions for granting the residence rights. This wide interpretational range is, however, limited by the General Residence Act Implementation Instruction, which includes detailed and binding guidelines with regard to the grounds and the reasons that are to be taken into consideration in the assessment.</w:t>
      </w:r>
    </w:p>
    <w:p w14:paraId="56FE3F46" w14:textId="6D829F2A" w:rsidR="00F80B8E" w:rsidRPr="00AA33EF" w:rsidRDefault="00F80B8E" w:rsidP="00AA33EF">
      <w:pPr>
        <w:spacing w:after="0" w:line="240" w:lineRule="auto"/>
        <w:jc w:val="both"/>
        <w:rPr>
          <w:sz w:val="22"/>
          <w:szCs w:val="22"/>
        </w:rPr>
      </w:pPr>
    </w:p>
    <w:p w14:paraId="57B95345" w14:textId="22BABD37" w:rsidR="000D3FFC" w:rsidRPr="00AA33EF" w:rsidRDefault="000D3FFC" w:rsidP="00AA33EF">
      <w:pPr>
        <w:spacing w:after="0" w:line="240" w:lineRule="auto"/>
        <w:jc w:val="both"/>
        <w:rPr>
          <w:i/>
          <w:sz w:val="22"/>
          <w:szCs w:val="22"/>
        </w:rPr>
      </w:pPr>
      <w:r w:rsidRPr="00AA33EF">
        <w:rPr>
          <w:i/>
          <w:sz w:val="22"/>
          <w:szCs w:val="22"/>
          <w:u w:val="single"/>
        </w:rPr>
        <w:t>Conditions and procedure for a settlement permit</w:t>
      </w:r>
    </w:p>
    <w:p w14:paraId="14A92343" w14:textId="77777777" w:rsidR="000D3FFC" w:rsidRPr="00AA33EF" w:rsidRDefault="000D3FFC" w:rsidP="00AA33EF">
      <w:pPr>
        <w:spacing w:after="0" w:line="240" w:lineRule="auto"/>
        <w:jc w:val="both"/>
        <w:rPr>
          <w:sz w:val="22"/>
          <w:szCs w:val="22"/>
        </w:rPr>
      </w:pPr>
      <w:r w:rsidRPr="00AA33EF">
        <w:rPr>
          <w:sz w:val="22"/>
          <w:szCs w:val="22"/>
        </w:rPr>
        <w:t xml:space="preserve">If the foreigner has been holding a temporary residence permit for the purpose of an economic activity as a </w:t>
      </w:r>
      <w:r w:rsidRPr="00AA33EF">
        <w:rPr>
          <w:b/>
          <w:sz w:val="22"/>
          <w:szCs w:val="22"/>
        </w:rPr>
        <w:t>self-employed for at least three years</w:t>
      </w:r>
      <w:r w:rsidRPr="00AA33EF">
        <w:rPr>
          <w:sz w:val="22"/>
          <w:szCs w:val="22"/>
        </w:rPr>
        <w:t>, s/he is entitled to be granted a settlement permit,</w:t>
      </w:r>
      <w:r w:rsidRPr="00AA33EF">
        <w:rPr>
          <w:b/>
          <w:sz w:val="22"/>
          <w:szCs w:val="22"/>
        </w:rPr>
        <w:t xml:space="preserve"> </w:t>
      </w:r>
      <w:r w:rsidRPr="00AA33EF">
        <w:rPr>
          <w:sz w:val="22"/>
          <w:szCs w:val="22"/>
        </w:rPr>
        <w:t xml:space="preserve">which is for an </w:t>
      </w:r>
      <w:r w:rsidRPr="00AA33EF">
        <w:rPr>
          <w:b/>
          <w:sz w:val="22"/>
          <w:szCs w:val="22"/>
        </w:rPr>
        <w:t>indefinite time</w:t>
      </w:r>
      <w:r w:rsidRPr="00AA33EF">
        <w:rPr>
          <w:sz w:val="22"/>
          <w:szCs w:val="22"/>
        </w:rPr>
        <w:t xml:space="preserve">. In addition, the foreigner has to prove that the economic </w:t>
      </w:r>
      <w:r w:rsidRPr="00AA33EF">
        <w:rPr>
          <w:b/>
          <w:sz w:val="22"/>
          <w:szCs w:val="22"/>
        </w:rPr>
        <w:t>activity has been successfully</w:t>
      </w:r>
      <w:r w:rsidRPr="00AA33EF">
        <w:rPr>
          <w:sz w:val="22"/>
          <w:szCs w:val="22"/>
        </w:rPr>
        <w:t xml:space="preserve"> carried out, as well that the activity provides her/him and her/his family an </w:t>
      </w:r>
      <w:r w:rsidRPr="00AA33EF">
        <w:rPr>
          <w:b/>
          <w:sz w:val="22"/>
          <w:szCs w:val="22"/>
        </w:rPr>
        <w:t>adequate income, which ensures their subsistence</w:t>
      </w:r>
      <w:r w:rsidRPr="00AA33EF">
        <w:rPr>
          <w:sz w:val="22"/>
          <w:szCs w:val="22"/>
        </w:rPr>
        <w:t xml:space="preserve">. In order to prove the success of the economic activity, the foreigner has to provide documents concerning her/his average income on the basis of the economic activity and proof of the business results of the activity. The application for the settlement permit also takes place with the FO as competent authority to make the decision to grant the residence right. In order to assess the proof, the FO may seek the (non-binding) advice of the trade and business bodies. The duration of the procedure for granting a settlement permit is around three months.  </w:t>
      </w:r>
    </w:p>
    <w:p w14:paraId="0885EB86" w14:textId="77777777" w:rsidR="000D3FFC" w:rsidRPr="00AA33EF" w:rsidRDefault="000D3FFC" w:rsidP="00AA33EF">
      <w:pPr>
        <w:spacing w:after="0" w:line="240" w:lineRule="auto"/>
        <w:jc w:val="both"/>
        <w:rPr>
          <w:sz w:val="22"/>
          <w:szCs w:val="22"/>
        </w:rPr>
      </w:pPr>
    </w:p>
    <w:p w14:paraId="50B08A0F" w14:textId="671E983A" w:rsidR="00F80B8E" w:rsidRPr="00AA33EF" w:rsidRDefault="00F07766" w:rsidP="00AA33EF">
      <w:pPr>
        <w:spacing w:after="0" w:line="240" w:lineRule="auto"/>
        <w:jc w:val="both"/>
        <w:rPr>
          <w:sz w:val="22"/>
          <w:szCs w:val="22"/>
        </w:rPr>
      </w:pPr>
      <w:r w:rsidRPr="00AA33EF">
        <w:rPr>
          <w:sz w:val="22"/>
          <w:szCs w:val="22"/>
        </w:rPr>
        <w:t xml:space="preserve">For both temporary residence permits and settlement permits, the </w:t>
      </w:r>
      <w:r w:rsidR="00F80B8E" w:rsidRPr="00AA33EF">
        <w:rPr>
          <w:sz w:val="22"/>
          <w:szCs w:val="22"/>
        </w:rPr>
        <w:t xml:space="preserve">normal </w:t>
      </w:r>
      <w:r w:rsidR="00F80B8E" w:rsidRPr="00AA33EF">
        <w:rPr>
          <w:b/>
          <w:sz w:val="22"/>
          <w:szCs w:val="22"/>
        </w:rPr>
        <w:t>administrative law remedies</w:t>
      </w:r>
      <w:r w:rsidR="00F80B8E" w:rsidRPr="00AA33EF">
        <w:rPr>
          <w:sz w:val="22"/>
          <w:szCs w:val="22"/>
        </w:rPr>
        <w:t xml:space="preserve"> are open to applicants wishing to contest the FO’s decision. The foreigner can appeal against the decision before the administrative court. The decision can also be contested by a hierarchical supervising authority. The hierarchical supervising authority can annul or withdraw unlawful administrative acts, such as the FO's decision (not) to grant residence rights. In addition, the hierarchical supervising authority is also entitled to revoke the FO's decision if it considers that, on the basis of changed circumstances, the act’s effects are contrary to the public interest or if the decision could cause serious harm to the public welfare.</w:t>
      </w:r>
    </w:p>
    <w:p w14:paraId="5A8B7BC1" w14:textId="77777777" w:rsidR="00F80B8E" w:rsidRPr="00AA33EF" w:rsidRDefault="00F80B8E" w:rsidP="00AA33EF">
      <w:pPr>
        <w:spacing w:after="0" w:line="240" w:lineRule="auto"/>
        <w:jc w:val="both"/>
        <w:rPr>
          <w:sz w:val="22"/>
          <w:szCs w:val="22"/>
        </w:rPr>
      </w:pPr>
    </w:p>
    <w:p w14:paraId="42B13CDC" w14:textId="4C75D06B" w:rsidR="003111BF" w:rsidRPr="00AA33EF" w:rsidRDefault="00CF7551" w:rsidP="00AA33EF">
      <w:pPr>
        <w:spacing w:after="0" w:line="240" w:lineRule="auto"/>
        <w:jc w:val="both"/>
        <w:rPr>
          <w:i/>
          <w:sz w:val="22"/>
          <w:szCs w:val="22"/>
          <w:u w:val="single"/>
        </w:rPr>
      </w:pPr>
      <w:r w:rsidRPr="00AA33EF">
        <w:rPr>
          <w:i/>
          <w:sz w:val="22"/>
          <w:szCs w:val="22"/>
          <w:u w:val="single"/>
        </w:rPr>
        <w:t>Security and ex-post checks</w:t>
      </w:r>
    </w:p>
    <w:p w14:paraId="075505BC" w14:textId="17B68C2F" w:rsidR="00487C21" w:rsidRPr="00AA33EF" w:rsidRDefault="00487C21" w:rsidP="00AA33EF">
      <w:pPr>
        <w:spacing w:after="0" w:line="240" w:lineRule="auto"/>
        <w:jc w:val="both"/>
        <w:rPr>
          <w:sz w:val="22"/>
          <w:szCs w:val="22"/>
        </w:rPr>
      </w:pPr>
      <w:r w:rsidRPr="00AA33EF">
        <w:rPr>
          <w:sz w:val="22"/>
          <w:szCs w:val="22"/>
        </w:rPr>
        <w:t xml:space="preserve">In order to </w:t>
      </w:r>
      <w:r w:rsidRPr="00AA33EF">
        <w:rPr>
          <w:b/>
          <w:sz w:val="22"/>
          <w:szCs w:val="22"/>
        </w:rPr>
        <w:t>carry out checks</w:t>
      </w:r>
      <w:r w:rsidRPr="00AA33EF">
        <w:rPr>
          <w:sz w:val="22"/>
          <w:szCs w:val="22"/>
        </w:rPr>
        <w:t xml:space="preserve"> in relation to whether the candidate poses a threat to the public security interests, the FO has access to the central foreigners</w:t>
      </w:r>
      <w:r w:rsidR="00AA33EF">
        <w:rPr>
          <w:sz w:val="22"/>
          <w:szCs w:val="22"/>
        </w:rPr>
        <w:t>’</w:t>
      </w:r>
      <w:r w:rsidRPr="00AA33EF">
        <w:rPr>
          <w:sz w:val="22"/>
          <w:szCs w:val="22"/>
        </w:rPr>
        <w:t xml:space="preserve"> registry, which includes information relating to whether a foreigner could be suspected of planning or having committed terrorist crimes or serious violent offences endangering the state. This information is provided by the police services and includes also information </w:t>
      </w:r>
      <w:r w:rsidRPr="00AA33EF">
        <w:rPr>
          <w:bCs/>
          <w:sz w:val="22"/>
          <w:szCs w:val="22"/>
        </w:rPr>
        <w:t>based on the EUROPOL database and on the Schengen Information System</w:t>
      </w:r>
      <w:r w:rsidRPr="00AA33EF">
        <w:rPr>
          <w:sz w:val="22"/>
          <w:szCs w:val="22"/>
        </w:rPr>
        <w:t xml:space="preserve">. Furthermore, the FO also has access to the central criminal register (which also </w:t>
      </w:r>
      <w:r w:rsidRPr="00AA33EF">
        <w:rPr>
          <w:bCs/>
          <w:sz w:val="22"/>
          <w:szCs w:val="22"/>
        </w:rPr>
        <w:t>includes information on convictions that are issued abroad)</w:t>
      </w:r>
      <w:r w:rsidRPr="00AA33EF">
        <w:rPr>
          <w:sz w:val="22"/>
          <w:szCs w:val="22"/>
        </w:rPr>
        <w:t>.  If the FO finds that the candidate poses a threat to the security interests, the FO is competent to decide that the conditions for residence are not fulfilled and thus it may refuse to grant residence rights.</w:t>
      </w:r>
    </w:p>
    <w:p w14:paraId="4BF95142" w14:textId="5350B168" w:rsidR="00702D57" w:rsidRPr="00AA33EF" w:rsidRDefault="00702D57" w:rsidP="00AA33EF">
      <w:pPr>
        <w:spacing w:after="0" w:line="240" w:lineRule="auto"/>
        <w:jc w:val="both"/>
        <w:rPr>
          <w:sz w:val="22"/>
          <w:szCs w:val="22"/>
        </w:rPr>
      </w:pPr>
    </w:p>
    <w:p w14:paraId="5F4BFDBB" w14:textId="2DBEDB7E" w:rsidR="00F80B8E" w:rsidRPr="00AA33EF" w:rsidRDefault="00F80B8E" w:rsidP="00AA33EF">
      <w:pPr>
        <w:spacing w:after="0" w:line="240" w:lineRule="auto"/>
        <w:jc w:val="both"/>
        <w:rPr>
          <w:i/>
          <w:sz w:val="22"/>
          <w:szCs w:val="22"/>
          <w:u w:val="single"/>
        </w:rPr>
      </w:pPr>
      <w:r w:rsidRPr="00AA33EF">
        <w:rPr>
          <w:i/>
          <w:sz w:val="22"/>
          <w:szCs w:val="22"/>
          <w:u w:val="single"/>
        </w:rPr>
        <w:t>Family members</w:t>
      </w:r>
    </w:p>
    <w:p w14:paraId="749796DE" w14:textId="1E35D482" w:rsidR="00702D57" w:rsidRPr="00AA33EF" w:rsidRDefault="00702D57" w:rsidP="00AA33EF">
      <w:pPr>
        <w:spacing w:after="0" w:line="240" w:lineRule="auto"/>
        <w:jc w:val="both"/>
        <w:rPr>
          <w:sz w:val="22"/>
          <w:szCs w:val="22"/>
        </w:rPr>
      </w:pPr>
      <w:r w:rsidRPr="00AA33EF">
        <w:rPr>
          <w:sz w:val="22"/>
          <w:szCs w:val="22"/>
        </w:rPr>
        <w:t xml:space="preserve">The Residence Act grants family members of a foreigner an accessory residence title. Third country national family members, who are eligible for the accessory residence title are the spouses, the minor unmarried children and family members who are dependent on the foreigner (in cases of hardship). </w:t>
      </w:r>
    </w:p>
    <w:p w14:paraId="43780ABA" w14:textId="77777777" w:rsidR="00D94CAF" w:rsidRPr="00AA33EF" w:rsidRDefault="00D94CAF" w:rsidP="00AA33EF">
      <w:pPr>
        <w:spacing w:after="0" w:line="240" w:lineRule="auto"/>
        <w:jc w:val="both"/>
        <w:rPr>
          <w:sz w:val="22"/>
          <w:szCs w:val="22"/>
        </w:rPr>
      </w:pPr>
    </w:p>
    <w:p w14:paraId="1652037D" w14:textId="41AD258E" w:rsidR="00F103ED" w:rsidRPr="00AA33EF" w:rsidRDefault="00F103ED" w:rsidP="00AA33EF">
      <w:pPr>
        <w:spacing w:after="0" w:line="240" w:lineRule="auto"/>
        <w:jc w:val="both"/>
        <w:rPr>
          <w:i/>
          <w:sz w:val="22"/>
          <w:szCs w:val="22"/>
          <w:u w:val="single"/>
        </w:rPr>
      </w:pPr>
      <w:r w:rsidRPr="00AA33EF">
        <w:rPr>
          <w:i/>
          <w:sz w:val="22"/>
          <w:szCs w:val="22"/>
          <w:u w:val="single"/>
        </w:rPr>
        <w:t>Monitoring of the proceedings and the authorities involved</w:t>
      </w:r>
    </w:p>
    <w:p w14:paraId="59579A28" w14:textId="69EF2807" w:rsidR="003600D0" w:rsidRPr="00AA33EF" w:rsidRDefault="005C5319" w:rsidP="00AA33EF">
      <w:pPr>
        <w:spacing w:after="0" w:line="240" w:lineRule="auto"/>
        <w:jc w:val="both"/>
        <w:rPr>
          <w:sz w:val="22"/>
          <w:szCs w:val="22"/>
        </w:rPr>
      </w:pPr>
      <w:r w:rsidRPr="00AA33EF">
        <w:rPr>
          <w:sz w:val="22"/>
          <w:szCs w:val="22"/>
        </w:rPr>
        <w:t xml:space="preserve">There is </w:t>
      </w:r>
      <w:r w:rsidRPr="00AA33EF">
        <w:rPr>
          <w:b/>
          <w:sz w:val="22"/>
          <w:szCs w:val="22"/>
        </w:rPr>
        <w:t>no limit or cap</w:t>
      </w:r>
      <w:r w:rsidRPr="00AA33EF">
        <w:rPr>
          <w:sz w:val="22"/>
          <w:szCs w:val="22"/>
        </w:rPr>
        <w:t xml:space="preserve"> for the number of applicants under the residence scheme. </w:t>
      </w:r>
      <w:r w:rsidR="00D00C79" w:rsidRPr="00AA33EF">
        <w:rPr>
          <w:sz w:val="22"/>
          <w:szCs w:val="22"/>
        </w:rPr>
        <w:t>There is n</w:t>
      </w:r>
      <w:r w:rsidR="003600D0" w:rsidRPr="00AA33EF">
        <w:rPr>
          <w:sz w:val="22"/>
          <w:szCs w:val="22"/>
        </w:rPr>
        <w:t>o mechanism for monitoring the ongoing proceedings</w:t>
      </w:r>
      <w:r w:rsidRPr="00AA33EF">
        <w:rPr>
          <w:sz w:val="22"/>
          <w:szCs w:val="22"/>
        </w:rPr>
        <w:t xml:space="preserve"> of</w:t>
      </w:r>
      <w:r w:rsidR="003600D0" w:rsidRPr="00AA33EF">
        <w:rPr>
          <w:sz w:val="22"/>
          <w:szCs w:val="22"/>
        </w:rPr>
        <w:t xml:space="preserve"> the residence scheme. Due to the fact that the proce</w:t>
      </w:r>
      <w:r w:rsidRPr="00AA33EF">
        <w:rPr>
          <w:sz w:val="22"/>
          <w:szCs w:val="22"/>
        </w:rPr>
        <w:t>ss</w:t>
      </w:r>
      <w:r w:rsidR="003600D0" w:rsidRPr="00AA33EF">
        <w:rPr>
          <w:sz w:val="22"/>
          <w:szCs w:val="22"/>
        </w:rPr>
        <w:t xml:space="preserve"> takes place before the authorities of the Länder, there is no overview by the federal government.</w:t>
      </w:r>
      <w:r w:rsidR="00F07766" w:rsidRPr="00AA33EF">
        <w:rPr>
          <w:sz w:val="22"/>
          <w:szCs w:val="22"/>
        </w:rPr>
        <w:t xml:space="preserve"> However, since FOs are executive bodies falling under the supervisory competence of the Länder, their decisions are monitored </w:t>
      </w:r>
      <w:r w:rsidR="00F07766" w:rsidRPr="00AA33EF">
        <w:rPr>
          <w:b/>
          <w:sz w:val="22"/>
          <w:szCs w:val="22"/>
        </w:rPr>
        <w:t>by the immediate hierarchical higher authorities</w:t>
      </w:r>
      <w:r w:rsidR="00F07766" w:rsidRPr="00AA33EF">
        <w:rPr>
          <w:sz w:val="22"/>
          <w:szCs w:val="22"/>
        </w:rPr>
        <w:t xml:space="preserve"> (the Länder Governments or the Government Districts). The Administrative Procedure Act provides two </w:t>
      </w:r>
      <w:r w:rsidR="00F07766" w:rsidRPr="00AA33EF">
        <w:rPr>
          <w:i/>
          <w:sz w:val="22"/>
          <w:szCs w:val="22"/>
        </w:rPr>
        <w:t>lex generalis</w:t>
      </w:r>
      <w:r w:rsidR="00F07766" w:rsidRPr="00AA33EF">
        <w:rPr>
          <w:sz w:val="22"/>
          <w:szCs w:val="22"/>
        </w:rPr>
        <w:t xml:space="preserve"> scrutiny </w:t>
      </w:r>
      <w:r w:rsidR="00F07766" w:rsidRPr="00AA33EF">
        <w:rPr>
          <w:sz w:val="22"/>
          <w:szCs w:val="22"/>
        </w:rPr>
        <w:lastRenderedPageBreak/>
        <w:t>mechanisms, which also apply to the decision of the FOs</w:t>
      </w:r>
      <w:r w:rsidR="00DD3C90" w:rsidRPr="00AA33EF">
        <w:rPr>
          <w:sz w:val="22"/>
          <w:szCs w:val="22"/>
        </w:rPr>
        <w:t xml:space="preserve"> and enable scrutinising how FOs apply the conditions to grant a temporary residence/settlement permit</w:t>
      </w:r>
      <w:r w:rsidR="00F07766" w:rsidRPr="00AA33EF">
        <w:rPr>
          <w:sz w:val="22"/>
          <w:szCs w:val="22"/>
        </w:rPr>
        <w:t>: (1) the annulment or withdrawal of an unlawful administrative act (</w:t>
      </w:r>
      <w:r w:rsidR="00F07766" w:rsidRPr="00AA33EF">
        <w:rPr>
          <w:i/>
          <w:sz w:val="22"/>
          <w:szCs w:val="22"/>
        </w:rPr>
        <w:t>Rücknahme eines rechtswidrigen Verwaltungsaktes</w:t>
      </w:r>
      <w:r w:rsidR="00F07766" w:rsidRPr="00AA33EF">
        <w:rPr>
          <w:sz w:val="22"/>
          <w:szCs w:val="22"/>
        </w:rPr>
        <w:t>) (e.g. the granting of a temporary residence/settlement permit where the conditions are not met, even after the time-limits for legal remedies have expired</w:t>
      </w:r>
      <w:r w:rsidR="00DD3C90" w:rsidRPr="00AA33EF">
        <w:rPr>
          <w:sz w:val="22"/>
          <w:szCs w:val="22"/>
        </w:rPr>
        <w:t>)</w:t>
      </w:r>
      <w:r w:rsidR="00F07766" w:rsidRPr="00AA33EF">
        <w:rPr>
          <w:sz w:val="22"/>
          <w:szCs w:val="22"/>
          <w:vertAlign w:val="superscript"/>
        </w:rPr>
        <w:footnoteReference w:id="4"/>
      </w:r>
      <w:r w:rsidR="00DD3C90" w:rsidRPr="00AA33EF">
        <w:rPr>
          <w:sz w:val="22"/>
          <w:szCs w:val="22"/>
        </w:rPr>
        <w:t>;</w:t>
      </w:r>
      <w:r w:rsidR="00F07766" w:rsidRPr="00AA33EF">
        <w:rPr>
          <w:sz w:val="22"/>
          <w:szCs w:val="22"/>
          <w:vertAlign w:val="superscript"/>
        </w:rPr>
        <w:footnoteReference w:id="5"/>
      </w:r>
      <w:r w:rsidR="00F07766" w:rsidRPr="00AA33EF">
        <w:rPr>
          <w:sz w:val="22"/>
          <w:szCs w:val="22"/>
        </w:rPr>
        <w:t xml:space="preserve"> </w:t>
      </w:r>
      <w:r w:rsidR="00DD3C90" w:rsidRPr="00AA33EF">
        <w:rPr>
          <w:sz w:val="22"/>
          <w:szCs w:val="22"/>
        </w:rPr>
        <w:t xml:space="preserve">and through (2) the </w:t>
      </w:r>
      <w:r w:rsidR="00F07766" w:rsidRPr="00AA33EF">
        <w:rPr>
          <w:sz w:val="22"/>
          <w:szCs w:val="22"/>
        </w:rPr>
        <w:t>revocation of a legal administrative act (</w:t>
      </w:r>
      <w:r w:rsidR="00F07766" w:rsidRPr="00AA33EF">
        <w:rPr>
          <w:i/>
          <w:sz w:val="22"/>
          <w:szCs w:val="22"/>
        </w:rPr>
        <w:t>Widerruf eines rechtmäßigen Verwaltungsaktes</w:t>
      </w:r>
      <w:r w:rsidR="00DD3C90" w:rsidRPr="00AA33EF">
        <w:rPr>
          <w:sz w:val="22"/>
          <w:szCs w:val="22"/>
        </w:rPr>
        <w:t xml:space="preserve">) when, </w:t>
      </w:r>
      <w:r w:rsidR="00F07766" w:rsidRPr="00AA33EF">
        <w:rPr>
          <w:sz w:val="22"/>
          <w:szCs w:val="22"/>
        </w:rPr>
        <w:t>due to changed circumstances</w:t>
      </w:r>
      <w:r w:rsidR="00DD3C90" w:rsidRPr="00AA33EF">
        <w:rPr>
          <w:sz w:val="22"/>
          <w:szCs w:val="22"/>
        </w:rPr>
        <w:t>,</w:t>
      </w:r>
      <w:r w:rsidR="00F07766" w:rsidRPr="00AA33EF">
        <w:rPr>
          <w:sz w:val="22"/>
          <w:szCs w:val="22"/>
        </w:rPr>
        <w:t xml:space="preserve"> the act’s effects are contrary to the public interest</w:t>
      </w:r>
      <w:r w:rsidR="00F07766" w:rsidRPr="00AA33EF">
        <w:rPr>
          <w:sz w:val="22"/>
          <w:szCs w:val="22"/>
          <w:vertAlign w:val="superscript"/>
        </w:rPr>
        <w:footnoteReference w:id="6"/>
      </w:r>
      <w:r w:rsidR="00DD3C90" w:rsidRPr="00AA33EF">
        <w:rPr>
          <w:sz w:val="22"/>
          <w:szCs w:val="22"/>
        </w:rPr>
        <w:t xml:space="preserve"> or </w:t>
      </w:r>
      <w:r w:rsidR="00F07766" w:rsidRPr="00AA33EF">
        <w:rPr>
          <w:sz w:val="22"/>
          <w:szCs w:val="22"/>
        </w:rPr>
        <w:t>could cause serious harm to the public welfare</w:t>
      </w:r>
      <w:r w:rsidR="00DD3C90" w:rsidRPr="00AA33EF">
        <w:rPr>
          <w:sz w:val="22"/>
          <w:szCs w:val="22"/>
        </w:rPr>
        <w:t>.</w:t>
      </w:r>
      <w:r w:rsidR="00F07766" w:rsidRPr="00AA33EF">
        <w:rPr>
          <w:sz w:val="22"/>
          <w:szCs w:val="22"/>
          <w:vertAlign w:val="superscript"/>
        </w:rPr>
        <w:footnoteReference w:id="7"/>
      </w:r>
      <w:r w:rsidR="00DD3C90" w:rsidRPr="00AA33EF">
        <w:rPr>
          <w:sz w:val="22"/>
          <w:szCs w:val="22"/>
        </w:rPr>
        <w:t xml:space="preserve"> In both cases</w:t>
      </w:r>
      <w:r w:rsidR="00F07766" w:rsidRPr="00AA33EF">
        <w:rPr>
          <w:sz w:val="22"/>
          <w:szCs w:val="22"/>
        </w:rPr>
        <w:t xml:space="preserve">, the </w:t>
      </w:r>
      <w:r w:rsidR="00DD3C90" w:rsidRPr="00AA33EF">
        <w:rPr>
          <w:sz w:val="22"/>
          <w:szCs w:val="22"/>
        </w:rPr>
        <w:t>competent</w:t>
      </w:r>
      <w:r w:rsidR="00F07766" w:rsidRPr="00AA33EF">
        <w:rPr>
          <w:sz w:val="22"/>
          <w:szCs w:val="22"/>
        </w:rPr>
        <w:t xml:space="preserve"> authority</w:t>
      </w:r>
      <w:r w:rsidR="00DD3C90" w:rsidRPr="00AA33EF">
        <w:rPr>
          <w:sz w:val="22"/>
          <w:szCs w:val="22"/>
        </w:rPr>
        <w:t xml:space="preserve"> withdrawing or revoking the act</w:t>
      </w:r>
      <w:r w:rsidR="00F07766" w:rsidRPr="00AA33EF">
        <w:rPr>
          <w:sz w:val="22"/>
          <w:szCs w:val="22"/>
        </w:rPr>
        <w:t xml:space="preserve"> is obliged to compensate the</w:t>
      </w:r>
      <w:r w:rsidR="00DD3C90" w:rsidRPr="00AA33EF">
        <w:rPr>
          <w:sz w:val="22"/>
          <w:szCs w:val="22"/>
        </w:rPr>
        <w:t xml:space="preserve"> affected person for</w:t>
      </w:r>
      <w:r w:rsidR="00F07766" w:rsidRPr="00AA33EF">
        <w:rPr>
          <w:sz w:val="22"/>
          <w:szCs w:val="22"/>
        </w:rPr>
        <w:t xml:space="preserve"> financial losses suffered by the </w:t>
      </w:r>
      <w:r w:rsidR="00DD3C90" w:rsidRPr="00AA33EF">
        <w:rPr>
          <w:sz w:val="22"/>
          <w:szCs w:val="22"/>
        </w:rPr>
        <w:t>withdrawal/</w:t>
      </w:r>
      <w:r w:rsidR="00F07766" w:rsidRPr="00AA33EF">
        <w:rPr>
          <w:sz w:val="22"/>
          <w:szCs w:val="22"/>
        </w:rPr>
        <w:t>revocation, if the affected person had legitimate expectations arising from the existence of the administrative act</w:t>
      </w:r>
      <w:r w:rsidR="00DD3C90" w:rsidRPr="00AA33EF">
        <w:rPr>
          <w:sz w:val="22"/>
          <w:szCs w:val="22"/>
        </w:rPr>
        <w:t>.</w:t>
      </w:r>
      <w:r w:rsidR="00F07766" w:rsidRPr="00AA33EF">
        <w:rPr>
          <w:sz w:val="22"/>
          <w:szCs w:val="22"/>
          <w:vertAlign w:val="superscript"/>
        </w:rPr>
        <w:footnoteReference w:id="8"/>
      </w:r>
      <w:r w:rsidR="00F07766" w:rsidRPr="00AA33EF">
        <w:rPr>
          <w:sz w:val="22"/>
          <w:szCs w:val="22"/>
        </w:rPr>
        <w:t xml:space="preserve"> </w:t>
      </w:r>
    </w:p>
    <w:p w14:paraId="10593B57" w14:textId="77777777" w:rsidR="00D94CAF" w:rsidRPr="00AA33EF" w:rsidRDefault="00D94CAF" w:rsidP="00AA33EF">
      <w:pPr>
        <w:spacing w:after="0" w:line="240" w:lineRule="auto"/>
        <w:jc w:val="both"/>
        <w:rPr>
          <w:sz w:val="22"/>
          <w:szCs w:val="22"/>
        </w:rPr>
      </w:pPr>
    </w:p>
    <w:p w14:paraId="0B283ECC" w14:textId="6F56E336" w:rsidR="00B46D2A" w:rsidRPr="00AA33EF" w:rsidRDefault="00B46D2A" w:rsidP="00AA33EF">
      <w:pPr>
        <w:spacing w:after="0" w:line="240" w:lineRule="auto"/>
        <w:jc w:val="both"/>
        <w:rPr>
          <w:i/>
          <w:sz w:val="22"/>
          <w:szCs w:val="22"/>
          <w:u w:val="single"/>
        </w:rPr>
      </w:pPr>
      <w:r w:rsidRPr="00AA33EF">
        <w:rPr>
          <w:i/>
          <w:sz w:val="22"/>
          <w:szCs w:val="22"/>
          <w:u w:val="single"/>
        </w:rPr>
        <w:t>Rights</w:t>
      </w:r>
    </w:p>
    <w:p w14:paraId="128C771F" w14:textId="55B1BEF3" w:rsidR="00D94CAF" w:rsidRPr="00AA33EF" w:rsidRDefault="00D94CAF" w:rsidP="00AA33EF">
      <w:pPr>
        <w:spacing w:after="0" w:line="240" w:lineRule="auto"/>
        <w:jc w:val="both"/>
        <w:rPr>
          <w:sz w:val="22"/>
          <w:szCs w:val="22"/>
        </w:rPr>
      </w:pPr>
      <w:r w:rsidRPr="00AA33EF">
        <w:rPr>
          <w:sz w:val="22"/>
          <w:szCs w:val="22"/>
        </w:rPr>
        <w:t xml:space="preserve">Foreigners </w:t>
      </w:r>
      <w:r w:rsidR="00A151AA" w:rsidRPr="00AA33EF">
        <w:rPr>
          <w:sz w:val="22"/>
          <w:szCs w:val="22"/>
        </w:rPr>
        <w:t xml:space="preserve">who have </w:t>
      </w:r>
      <w:r w:rsidRPr="00AA33EF">
        <w:rPr>
          <w:sz w:val="22"/>
          <w:szCs w:val="22"/>
        </w:rPr>
        <w:t xml:space="preserve">a </w:t>
      </w:r>
      <w:r w:rsidR="00AF33BA" w:rsidRPr="00AA33EF">
        <w:rPr>
          <w:sz w:val="22"/>
          <w:szCs w:val="22"/>
        </w:rPr>
        <w:t xml:space="preserve">temporary residence permit </w:t>
      </w:r>
      <w:r w:rsidR="00D81C38" w:rsidRPr="00AA33EF">
        <w:rPr>
          <w:sz w:val="22"/>
          <w:szCs w:val="22"/>
        </w:rPr>
        <w:t>or</w:t>
      </w:r>
      <w:r w:rsidR="00AF33BA" w:rsidRPr="00AA33EF">
        <w:rPr>
          <w:sz w:val="22"/>
          <w:szCs w:val="22"/>
        </w:rPr>
        <w:t xml:space="preserve"> </w:t>
      </w:r>
      <w:r w:rsidR="00A151AA" w:rsidRPr="00AA33EF">
        <w:rPr>
          <w:sz w:val="22"/>
          <w:szCs w:val="22"/>
        </w:rPr>
        <w:t>a</w:t>
      </w:r>
      <w:r w:rsidR="00AF33BA" w:rsidRPr="00AA33EF">
        <w:rPr>
          <w:sz w:val="22"/>
          <w:szCs w:val="22"/>
        </w:rPr>
        <w:t xml:space="preserve"> settlement permit</w:t>
      </w:r>
      <w:r w:rsidR="0040634E" w:rsidRPr="00AA33EF">
        <w:rPr>
          <w:sz w:val="22"/>
          <w:szCs w:val="22"/>
        </w:rPr>
        <w:t xml:space="preserve"> on the basis of the residence scheme</w:t>
      </w:r>
      <w:r w:rsidR="00A151AA" w:rsidRPr="00AA33EF">
        <w:rPr>
          <w:sz w:val="22"/>
          <w:szCs w:val="22"/>
        </w:rPr>
        <w:t xml:space="preserve">, </w:t>
      </w:r>
      <w:r w:rsidRPr="00AA33EF">
        <w:rPr>
          <w:sz w:val="22"/>
          <w:szCs w:val="22"/>
        </w:rPr>
        <w:t>only</w:t>
      </w:r>
      <w:r w:rsidR="00546146" w:rsidRPr="00AA33EF">
        <w:rPr>
          <w:sz w:val="22"/>
          <w:szCs w:val="22"/>
        </w:rPr>
        <w:t xml:space="preserve"> have</w:t>
      </w:r>
      <w:r w:rsidRPr="00AA33EF">
        <w:rPr>
          <w:sz w:val="22"/>
          <w:szCs w:val="22"/>
        </w:rPr>
        <w:t xml:space="preserve"> the </w:t>
      </w:r>
      <w:r w:rsidRPr="00AA33EF">
        <w:rPr>
          <w:b/>
          <w:sz w:val="22"/>
          <w:szCs w:val="22"/>
        </w:rPr>
        <w:t>right to pursue an economic activity as a self-employed</w:t>
      </w:r>
      <w:r w:rsidRPr="00AA33EF">
        <w:rPr>
          <w:sz w:val="22"/>
          <w:szCs w:val="22"/>
        </w:rPr>
        <w:t>. On the basis of these economic activities, the foreigner</w:t>
      </w:r>
      <w:r w:rsidR="0040634E" w:rsidRPr="00AA33EF">
        <w:rPr>
          <w:sz w:val="22"/>
          <w:szCs w:val="22"/>
        </w:rPr>
        <w:t>s are</w:t>
      </w:r>
      <w:r w:rsidRPr="00AA33EF">
        <w:rPr>
          <w:sz w:val="22"/>
          <w:szCs w:val="22"/>
        </w:rPr>
        <w:t xml:space="preserve"> </w:t>
      </w:r>
      <w:r w:rsidRPr="00AA33EF">
        <w:rPr>
          <w:b/>
          <w:sz w:val="22"/>
          <w:szCs w:val="22"/>
        </w:rPr>
        <w:t>eligible to receive social security</w:t>
      </w:r>
      <w:r w:rsidRPr="00AA33EF">
        <w:rPr>
          <w:sz w:val="22"/>
          <w:szCs w:val="22"/>
        </w:rPr>
        <w:t xml:space="preserve">. However, </w:t>
      </w:r>
      <w:r w:rsidR="00546146" w:rsidRPr="00AA33EF">
        <w:rPr>
          <w:sz w:val="22"/>
          <w:szCs w:val="22"/>
        </w:rPr>
        <w:t>they do not have a right to</w:t>
      </w:r>
      <w:r w:rsidRPr="00AA33EF">
        <w:rPr>
          <w:sz w:val="22"/>
          <w:szCs w:val="22"/>
        </w:rPr>
        <w:t xml:space="preserve"> social assistance, since a secure subsistence is one of the conditions for receiving</w:t>
      </w:r>
      <w:r w:rsidR="003A3D7D" w:rsidRPr="00AA33EF">
        <w:rPr>
          <w:sz w:val="22"/>
          <w:szCs w:val="22"/>
        </w:rPr>
        <w:t xml:space="preserve"> the</w:t>
      </w:r>
      <w:r w:rsidRPr="00AA33EF">
        <w:rPr>
          <w:sz w:val="22"/>
          <w:szCs w:val="22"/>
        </w:rPr>
        <w:t xml:space="preserve"> residence rights. The residence scheme does not </w:t>
      </w:r>
      <w:r w:rsidR="00546146" w:rsidRPr="00AA33EF">
        <w:rPr>
          <w:sz w:val="22"/>
          <w:szCs w:val="22"/>
        </w:rPr>
        <w:t>entail a right to</w:t>
      </w:r>
      <w:r w:rsidRPr="00AA33EF">
        <w:rPr>
          <w:sz w:val="22"/>
          <w:szCs w:val="22"/>
        </w:rPr>
        <w:t xml:space="preserve"> special tax treatment. Family members are granted similar rights</w:t>
      </w:r>
      <w:r w:rsidR="00546146" w:rsidRPr="00AA33EF">
        <w:rPr>
          <w:sz w:val="22"/>
          <w:szCs w:val="22"/>
        </w:rPr>
        <w:t xml:space="preserve"> as the main beneficiary</w:t>
      </w:r>
      <w:r w:rsidR="005C5319" w:rsidRPr="00AA33EF">
        <w:rPr>
          <w:sz w:val="22"/>
          <w:szCs w:val="22"/>
        </w:rPr>
        <w:t>.</w:t>
      </w:r>
      <w:r w:rsidR="003A3D7D" w:rsidRPr="00AA33EF">
        <w:rPr>
          <w:sz w:val="22"/>
          <w:szCs w:val="22"/>
        </w:rPr>
        <w:t xml:space="preserve"> </w:t>
      </w:r>
      <w:r w:rsidR="003B6BA8" w:rsidRPr="00AA33EF">
        <w:rPr>
          <w:sz w:val="22"/>
          <w:szCs w:val="22"/>
        </w:rPr>
        <w:t xml:space="preserve">In this light, it </w:t>
      </w:r>
      <w:r w:rsidR="0040634E" w:rsidRPr="00AA33EF">
        <w:rPr>
          <w:sz w:val="22"/>
          <w:szCs w:val="22"/>
        </w:rPr>
        <w:t>is</w:t>
      </w:r>
      <w:r w:rsidR="003B6BA8" w:rsidRPr="00AA33EF">
        <w:rPr>
          <w:sz w:val="22"/>
          <w:szCs w:val="22"/>
        </w:rPr>
        <w:t xml:space="preserve"> noted that according to one of the requirements for the residence scheme, the foreigner must guarantee necessary means for securing subsistence wh</w:t>
      </w:r>
      <w:r w:rsidR="005465D1" w:rsidRPr="00AA33EF">
        <w:rPr>
          <w:sz w:val="22"/>
          <w:szCs w:val="22"/>
        </w:rPr>
        <w:t>en the person is of old-age (i.e.</w:t>
      </w:r>
      <w:r w:rsidR="003B6BA8" w:rsidRPr="00AA33EF">
        <w:rPr>
          <w:sz w:val="22"/>
          <w:szCs w:val="22"/>
        </w:rPr>
        <w:t xml:space="preserve"> old-age pension).</w:t>
      </w:r>
    </w:p>
    <w:p w14:paraId="31C2A3B3" w14:textId="77777777" w:rsidR="00D94CAF" w:rsidRPr="00AA33EF" w:rsidRDefault="00D94CAF" w:rsidP="00AA33EF">
      <w:pPr>
        <w:spacing w:after="0" w:line="240" w:lineRule="auto"/>
        <w:jc w:val="both"/>
        <w:rPr>
          <w:sz w:val="22"/>
          <w:szCs w:val="22"/>
        </w:rPr>
      </w:pPr>
    </w:p>
    <w:p w14:paraId="130EE6CB" w14:textId="1002D127" w:rsidR="00D94CAF" w:rsidRPr="00AA33EF" w:rsidRDefault="007B3D0C" w:rsidP="00AA33EF">
      <w:pPr>
        <w:spacing w:after="0" w:line="240" w:lineRule="auto"/>
        <w:jc w:val="both"/>
        <w:rPr>
          <w:b/>
          <w:i/>
          <w:sz w:val="22"/>
          <w:szCs w:val="22"/>
        </w:rPr>
      </w:pPr>
      <w:r w:rsidRPr="00AA33EF">
        <w:rPr>
          <w:b/>
          <w:i/>
          <w:sz w:val="22"/>
          <w:szCs w:val="22"/>
        </w:rPr>
        <w:t>Other matters</w:t>
      </w:r>
    </w:p>
    <w:p w14:paraId="3DB8A847" w14:textId="661B0BD4" w:rsidR="00D94CAF" w:rsidRPr="00AA33EF" w:rsidRDefault="00D94CAF" w:rsidP="00AA33EF">
      <w:pPr>
        <w:spacing w:after="0" w:line="240" w:lineRule="auto"/>
        <w:jc w:val="both"/>
        <w:rPr>
          <w:sz w:val="22"/>
          <w:szCs w:val="22"/>
        </w:rPr>
      </w:pPr>
    </w:p>
    <w:p w14:paraId="36A1B994" w14:textId="261D874A" w:rsidR="004B5793" w:rsidRPr="00AA33EF" w:rsidRDefault="004B5793" w:rsidP="00AA33EF">
      <w:pPr>
        <w:spacing w:after="0" w:line="240" w:lineRule="auto"/>
        <w:jc w:val="both"/>
        <w:rPr>
          <w:i/>
          <w:sz w:val="22"/>
          <w:szCs w:val="22"/>
          <w:u w:val="single"/>
        </w:rPr>
      </w:pPr>
      <w:r w:rsidRPr="00AA33EF">
        <w:rPr>
          <w:i/>
          <w:sz w:val="22"/>
          <w:szCs w:val="22"/>
          <w:u w:val="single"/>
        </w:rPr>
        <w:t>Link to citizenship</w:t>
      </w:r>
    </w:p>
    <w:p w14:paraId="5F22EAF0" w14:textId="2E0D5FEC" w:rsidR="0007010A" w:rsidRPr="00AA33EF" w:rsidRDefault="00D94CAF" w:rsidP="00AA33EF">
      <w:pPr>
        <w:spacing w:after="0" w:line="240" w:lineRule="auto"/>
        <w:jc w:val="both"/>
        <w:rPr>
          <w:sz w:val="22"/>
          <w:szCs w:val="22"/>
        </w:rPr>
      </w:pPr>
      <w:r w:rsidRPr="00AA33EF">
        <w:rPr>
          <w:sz w:val="22"/>
          <w:szCs w:val="22"/>
        </w:rPr>
        <w:t xml:space="preserve">The residence scheme in itself </w:t>
      </w:r>
      <w:r w:rsidRPr="00AA33EF">
        <w:rPr>
          <w:b/>
          <w:sz w:val="22"/>
          <w:szCs w:val="22"/>
        </w:rPr>
        <w:t>does not give a special direct right to naturalisation</w:t>
      </w:r>
      <w:r w:rsidRPr="00AA33EF">
        <w:rPr>
          <w:sz w:val="22"/>
          <w:szCs w:val="22"/>
        </w:rPr>
        <w:t xml:space="preserve">. </w:t>
      </w:r>
      <w:r w:rsidR="00DD3C90" w:rsidRPr="00AA33EF">
        <w:rPr>
          <w:sz w:val="22"/>
          <w:szCs w:val="22"/>
        </w:rPr>
        <w:t>Therefore, all third-country nationals (including foreign investors who benefit from the self-employed scheme) can obtain the German nationality if they fulfil the general rules of the Nationality Act:</w:t>
      </w:r>
      <w:r w:rsidR="00DD3C90" w:rsidRPr="00AA33EF">
        <w:rPr>
          <w:rStyle w:val="FootnoteReference"/>
          <w:sz w:val="22"/>
          <w:szCs w:val="22"/>
        </w:rPr>
        <w:footnoteReference w:id="9"/>
      </w:r>
      <w:r w:rsidRPr="00AA33EF">
        <w:rPr>
          <w:sz w:val="22"/>
          <w:szCs w:val="22"/>
        </w:rPr>
        <w:t xml:space="preserve"> legal and ordinary residence </w:t>
      </w:r>
      <w:r w:rsidR="00622AD4" w:rsidRPr="00AA33EF">
        <w:rPr>
          <w:sz w:val="22"/>
          <w:szCs w:val="22"/>
        </w:rPr>
        <w:t xml:space="preserve">of eight years </w:t>
      </w:r>
      <w:r w:rsidRPr="00AA33EF">
        <w:rPr>
          <w:sz w:val="22"/>
          <w:szCs w:val="22"/>
        </w:rPr>
        <w:t xml:space="preserve">on the German territory. </w:t>
      </w:r>
      <w:r w:rsidR="00D00C79" w:rsidRPr="00AA33EF">
        <w:rPr>
          <w:sz w:val="22"/>
          <w:szCs w:val="22"/>
        </w:rPr>
        <w:t xml:space="preserve"> </w:t>
      </w:r>
      <w:r w:rsidR="00622AD4" w:rsidRPr="00AA33EF">
        <w:rPr>
          <w:sz w:val="22"/>
          <w:szCs w:val="22"/>
        </w:rPr>
        <w:t xml:space="preserve">to ensure </w:t>
      </w:r>
      <w:r w:rsidR="00D00C79" w:rsidRPr="00AA33EF">
        <w:rPr>
          <w:sz w:val="22"/>
          <w:szCs w:val="22"/>
        </w:rPr>
        <w:t>their</w:t>
      </w:r>
      <w:r w:rsidR="00622AD4" w:rsidRPr="00AA33EF">
        <w:rPr>
          <w:sz w:val="22"/>
          <w:szCs w:val="22"/>
        </w:rPr>
        <w:t xml:space="preserve"> </w:t>
      </w:r>
      <w:r w:rsidR="00D00C79" w:rsidRPr="00AA33EF">
        <w:rPr>
          <w:sz w:val="22"/>
          <w:szCs w:val="22"/>
        </w:rPr>
        <w:t xml:space="preserve">own subsistence and that of their </w:t>
      </w:r>
      <w:r w:rsidR="00622AD4" w:rsidRPr="00AA33EF">
        <w:rPr>
          <w:sz w:val="22"/>
          <w:szCs w:val="22"/>
        </w:rPr>
        <w:t>dependant family members, have a sufficient command of the German language and must -</w:t>
      </w:r>
      <w:r w:rsidR="00D00C79" w:rsidRPr="00AA33EF">
        <w:rPr>
          <w:sz w:val="22"/>
          <w:szCs w:val="22"/>
        </w:rPr>
        <w:t xml:space="preserve"> </w:t>
      </w:r>
      <w:r w:rsidR="00622AD4" w:rsidRPr="00AA33EF">
        <w:rPr>
          <w:sz w:val="22"/>
          <w:szCs w:val="22"/>
        </w:rPr>
        <w:t>as a principle</w:t>
      </w:r>
      <w:r w:rsidR="00D00C79" w:rsidRPr="00AA33EF">
        <w:rPr>
          <w:sz w:val="22"/>
          <w:szCs w:val="22"/>
        </w:rPr>
        <w:t xml:space="preserve"> </w:t>
      </w:r>
      <w:r w:rsidR="00622AD4" w:rsidRPr="00AA33EF">
        <w:rPr>
          <w:sz w:val="22"/>
          <w:szCs w:val="22"/>
        </w:rPr>
        <w:t xml:space="preserve">- renounce </w:t>
      </w:r>
      <w:r w:rsidR="00D00C79" w:rsidRPr="00AA33EF">
        <w:rPr>
          <w:sz w:val="22"/>
          <w:szCs w:val="22"/>
        </w:rPr>
        <w:t xml:space="preserve">their </w:t>
      </w:r>
      <w:r w:rsidR="00622AD4" w:rsidRPr="00AA33EF">
        <w:rPr>
          <w:sz w:val="22"/>
          <w:szCs w:val="22"/>
        </w:rPr>
        <w:t>previous nationalities.</w:t>
      </w:r>
      <w:r w:rsidR="00622AD4" w:rsidRPr="00AA33EF" w:rsidDel="00622AD4">
        <w:rPr>
          <w:sz w:val="22"/>
          <w:szCs w:val="22"/>
        </w:rPr>
        <w:t xml:space="preserve"> </w:t>
      </w:r>
    </w:p>
    <w:p w14:paraId="701C7DE9" w14:textId="4D3283AD" w:rsidR="00D94CAF" w:rsidRPr="00AA33EF" w:rsidRDefault="00D94CAF" w:rsidP="00AA33EF">
      <w:pPr>
        <w:spacing w:after="0" w:line="240" w:lineRule="auto"/>
        <w:jc w:val="both"/>
        <w:rPr>
          <w:sz w:val="22"/>
          <w:szCs w:val="22"/>
        </w:rPr>
      </w:pPr>
    </w:p>
    <w:p w14:paraId="3703E6F7" w14:textId="77777777" w:rsidR="00AA33EF" w:rsidRDefault="00DD3C90" w:rsidP="00AA33EF">
      <w:pPr>
        <w:spacing w:after="0" w:line="240" w:lineRule="auto"/>
        <w:jc w:val="both"/>
        <w:rPr>
          <w:i/>
          <w:sz w:val="22"/>
          <w:szCs w:val="22"/>
        </w:rPr>
      </w:pPr>
      <w:r w:rsidRPr="00AA33EF">
        <w:rPr>
          <w:i/>
          <w:sz w:val="22"/>
          <w:szCs w:val="22"/>
          <w:u w:val="single"/>
        </w:rPr>
        <w:t xml:space="preserve">Statistics and economic </w:t>
      </w:r>
      <w:r w:rsidR="008C634F" w:rsidRPr="00AA33EF">
        <w:rPr>
          <w:i/>
          <w:sz w:val="22"/>
          <w:szCs w:val="22"/>
          <w:u w:val="single"/>
        </w:rPr>
        <w:t>impact</w:t>
      </w:r>
      <w:r w:rsidR="008C634F" w:rsidRPr="00AA33EF">
        <w:rPr>
          <w:i/>
          <w:sz w:val="22"/>
          <w:szCs w:val="22"/>
        </w:rPr>
        <w:t xml:space="preserve"> </w:t>
      </w:r>
      <w:bookmarkStart w:id="1" w:name="_GoBack"/>
      <w:bookmarkEnd w:id="1"/>
    </w:p>
    <w:p w14:paraId="6A6B7867" w14:textId="512C995A" w:rsidR="00D94CAF" w:rsidRPr="00AA33EF" w:rsidRDefault="00D00C79" w:rsidP="00AA33EF">
      <w:pPr>
        <w:spacing w:after="0" w:line="240" w:lineRule="auto"/>
        <w:jc w:val="both"/>
        <w:rPr>
          <w:sz w:val="22"/>
          <w:szCs w:val="22"/>
        </w:rPr>
      </w:pPr>
      <w:r w:rsidRPr="00AA33EF">
        <w:rPr>
          <w:sz w:val="22"/>
          <w:szCs w:val="22"/>
        </w:rPr>
        <w:t>As aforementioned, the</w:t>
      </w:r>
      <w:r w:rsidR="00546146" w:rsidRPr="00AA33EF">
        <w:rPr>
          <w:sz w:val="22"/>
          <w:szCs w:val="22"/>
        </w:rPr>
        <w:t xml:space="preserve"> 2012 amendment to the Residence Act</w:t>
      </w:r>
      <w:r w:rsidR="000F3738" w:rsidRPr="00AA33EF">
        <w:rPr>
          <w:sz w:val="22"/>
          <w:szCs w:val="22"/>
        </w:rPr>
        <w:t xml:space="preserve"> </w:t>
      </w:r>
      <w:r w:rsidR="00546146" w:rsidRPr="00AA33EF">
        <w:rPr>
          <w:b/>
          <w:sz w:val="22"/>
          <w:szCs w:val="22"/>
        </w:rPr>
        <w:t>removed the investment level requirement threshold of EUR 250,000</w:t>
      </w:r>
      <w:r w:rsidR="000F3738" w:rsidRPr="00AA33EF">
        <w:rPr>
          <w:sz w:val="22"/>
          <w:szCs w:val="22"/>
        </w:rPr>
        <w:t xml:space="preserve"> and since 2012 there was an</w:t>
      </w:r>
      <w:r w:rsidR="00546146" w:rsidRPr="00AA33EF">
        <w:rPr>
          <w:sz w:val="22"/>
          <w:szCs w:val="22"/>
        </w:rPr>
        <w:t xml:space="preserve"> </w:t>
      </w:r>
      <w:r w:rsidR="00D94CAF" w:rsidRPr="00AA33EF">
        <w:rPr>
          <w:b/>
          <w:sz w:val="22"/>
          <w:szCs w:val="22"/>
        </w:rPr>
        <w:t>increase in the number of self-employed persons</w:t>
      </w:r>
      <w:r w:rsidR="00D94CAF" w:rsidRPr="00AA33EF">
        <w:rPr>
          <w:sz w:val="22"/>
          <w:szCs w:val="22"/>
        </w:rPr>
        <w:t xml:space="preserve"> who</w:t>
      </w:r>
      <w:r w:rsidR="00546146" w:rsidRPr="00AA33EF">
        <w:rPr>
          <w:sz w:val="22"/>
          <w:szCs w:val="22"/>
        </w:rPr>
        <w:t xml:space="preserve"> entered Germany on</w:t>
      </w:r>
      <w:r w:rsidR="00D94CAF" w:rsidRPr="00AA33EF">
        <w:rPr>
          <w:sz w:val="22"/>
          <w:szCs w:val="22"/>
        </w:rPr>
        <w:t xml:space="preserve"> the basis of the residence scheme. However, it is impossible to draw a causal relationship between these facts.</w:t>
      </w:r>
    </w:p>
    <w:p w14:paraId="7FFC1CA6" w14:textId="05E41701" w:rsidR="00DF221F" w:rsidRPr="00AA33EF" w:rsidRDefault="00DF221F" w:rsidP="00AA33EF">
      <w:pPr>
        <w:spacing w:after="0" w:line="240" w:lineRule="auto"/>
        <w:jc w:val="both"/>
        <w:rPr>
          <w:sz w:val="22"/>
          <w:szCs w:val="22"/>
        </w:rPr>
      </w:pPr>
    </w:p>
    <w:p w14:paraId="37E68A28" w14:textId="77777777" w:rsidR="00DF221F" w:rsidRPr="00AA33EF" w:rsidRDefault="00DF221F" w:rsidP="00AA33EF">
      <w:pPr>
        <w:spacing w:after="0" w:line="240" w:lineRule="auto"/>
        <w:jc w:val="both"/>
        <w:rPr>
          <w:sz w:val="22"/>
          <w:szCs w:val="22"/>
        </w:rPr>
      </w:pPr>
      <w:r w:rsidRPr="00AA33EF">
        <w:rPr>
          <w:sz w:val="22"/>
          <w:szCs w:val="22"/>
        </w:rPr>
        <w:t xml:space="preserve">The only </w:t>
      </w:r>
      <w:r w:rsidRPr="00AA33EF">
        <w:rPr>
          <w:b/>
          <w:sz w:val="22"/>
          <w:szCs w:val="22"/>
        </w:rPr>
        <w:t>statistical information</w:t>
      </w:r>
      <w:r w:rsidRPr="00AA33EF">
        <w:rPr>
          <w:sz w:val="22"/>
          <w:szCs w:val="22"/>
        </w:rPr>
        <w:t xml:space="preserve"> available is the number of successful applications for residence rights under the residence scheme (see table). No data on the number of applications generally are available. Furthermore, no data on the successful applications for residence rights by family members are available. </w:t>
      </w:r>
    </w:p>
    <w:p w14:paraId="5B432920" w14:textId="1C01AC99" w:rsidR="00EA0A5A" w:rsidRPr="00AA33EF" w:rsidRDefault="00EA0A5A" w:rsidP="00AA33EF">
      <w:pPr>
        <w:spacing w:after="0" w:line="240" w:lineRule="auto"/>
        <w:jc w:val="both"/>
        <w:rPr>
          <w:sz w:val="22"/>
          <w:szCs w:val="22"/>
        </w:rPr>
      </w:pPr>
    </w:p>
    <w:p w14:paraId="1EF9C27A" w14:textId="25C61C65" w:rsidR="00677FB1" w:rsidRPr="00AA33EF" w:rsidRDefault="00EA0A5A" w:rsidP="00AA33EF">
      <w:pPr>
        <w:spacing w:after="0" w:line="240" w:lineRule="auto"/>
        <w:jc w:val="both"/>
        <w:rPr>
          <w:sz w:val="22"/>
          <w:szCs w:val="22"/>
        </w:rPr>
      </w:pPr>
      <w:r w:rsidRPr="00AA33EF">
        <w:rPr>
          <w:sz w:val="22"/>
          <w:szCs w:val="22"/>
        </w:rPr>
        <w:t>With the exception of the income from administrative fees for the granting of a tempora</w:t>
      </w:r>
      <w:r w:rsidR="00D00C79" w:rsidRPr="00AA33EF">
        <w:rPr>
          <w:sz w:val="22"/>
          <w:szCs w:val="22"/>
        </w:rPr>
        <w:t>ry</w:t>
      </w:r>
      <w:r w:rsidRPr="00AA33EF">
        <w:rPr>
          <w:sz w:val="22"/>
          <w:szCs w:val="22"/>
        </w:rPr>
        <w:t xml:space="preserve"> residence permit, no quantitative information on the financial effects of the scheme is available. </w:t>
      </w:r>
      <w:r w:rsidR="00551357" w:rsidRPr="00AA33EF">
        <w:rPr>
          <w:sz w:val="22"/>
          <w:szCs w:val="22"/>
        </w:rPr>
        <w:t>Based on the fact that</w:t>
      </w:r>
      <w:r w:rsidR="006D2C93" w:rsidRPr="00AA33EF">
        <w:rPr>
          <w:sz w:val="22"/>
          <w:szCs w:val="22"/>
        </w:rPr>
        <w:t xml:space="preserve"> an administrative fee of EUR 11</w:t>
      </w:r>
      <w:r w:rsidR="00551357" w:rsidRPr="00AA33EF">
        <w:rPr>
          <w:sz w:val="22"/>
          <w:szCs w:val="22"/>
        </w:rPr>
        <w:t xml:space="preserve">0 </w:t>
      </w:r>
      <w:r w:rsidR="006D2C93" w:rsidRPr="00AA33EF">
        <w:rPr>
          <w:sz w:val="22"/>
          <w:szCs w:val="22"/>
        </w:rPr>
        <w:t>was</w:t>
      </w:r>
      <w:r w:rsidR="00551357" w:rsidRPr="00AA33EF">
        <w:rPr>
          <w:sz w:val="22"/>
          <w:szCs w:val="22"/>
        </w:rPr>
        <w:t xml:space="preserve"> to be paid</w:t>
      </w:r>
      <w:r w:rsidR="006D2C93" w:rsidRPr="00AA33EF">
        <w:rPr>
          <w:rStyle w:val="FootnoteReference"/>
          <w:sz w:val="22"/>
          <w:szCs w:val="22"/>
        </w:rPr>
        <w:footnoteReference w:id="10"/>
      </w:r>
      <w:r w:rsidR="00551357" w:rsidRPr="00AA33EF">
        <w:rPr>
          <w:sz w:val="22"/>
          <w:szCs w:val="22"/>
        </w:rPr>
        <w:t xml:space="preserve"> to the FO for the issuing of a tempora</w:t>
      </w:r>
      <w:r w:rsidR="00D00C79" w:rsidRPr="00AA33EF">
        <w:rPr>
          <w:sz w:val="22"/>
          <w:szCs w:val="22"/>
        </w:rPr>
        <w:t>ry</w:t>
      </w:r>
      <w:r w:rsidR="00551357" w:rsidRPr="00AA33EF">
        <w:rPr>
          <w:sz w:val="22"/>
          <w:szCs w:val="22"/>
        </w:rPr>
        <w:t xml:space="preserve"> residence </w:t>
      </w:r>
      <w:r w:rsidR="00551357" w:rsidRPr="00AA33EF">
        <w:rPr>
          <w:sz w:val="22"/>
          <w:szCs w:val="22"/>
        </w:rPr>
        <w:lastRenderedPageBreak/>
        <w:t>permit, it is possible to calculate a part of the income of all Länder (under wh</w:t>
      </w:r>
      <w:r w:rsidR="00D00C79" w:rsidRPr="00AA33EF">
        <w:rPr>
          <w:sz w:val="22"/>
          <w:szCs w:val="22"/>
        </w:rPr>
        <w:t xml:space="preserve">ose </w:t>
      </w:r>
      <w:r w:rsidR="00551357" w:rsidRPr="00AA33EF">
        <w:rPr>
          <w:sz w:val="22"/>
          <w:szCs w:val="22"/>
        </w:rPr>
        <w:t xml:space="preserve">administrative competence the FOs fall) earned in the context of the German residence scheme. The income </w:t>
      </w:r>
      <w:r w:rsidR="00D00C79" w:rsidRPr="00AA33EF">
        <w:rPr>
          <w:sz w:val="22"/>
          <w:szCs w:val="22"/>
        </w:rPr>
        <w:t>for</w:t>
      </w:r>
      <w:r w:rsidR="00551357" w:rsidRPr="00AA33EF">
        <w:rPr>
          <w:sz w:val="22"/>
          <w:szCs w:val="22"/>
        </w:rPr>
        <w:t xml:space="preserve"> all Länder for granting of a tempora</w:t>
      </w:r>
      <w:r w:rsidR="00D00C79" w:rsidRPr="00AA33EF">
        <w:rPr>
          <w:sz w:val="22"/>
          <w:szCs w:val="22"/>
        </w:rPr>
        <w:t>ry</w:t>
      </w:r>
      <w:r w:rsidR="00551357" w:rsidRPr="00AA33EF">
        <w:rPr>
          <w:sz w:val="22"/>
          <w:szCs w:val="22"/>
        </w:rPr>
        <w:t xml:space="preserve"> residence permit can be calculated by multiplying the fee of EUR 1</w:t>
      </w:r>
      <w:r w:rsidR="006D2C93" w:rsidRPr="00AA33EF">
        <w:rPr>
          <w:sz w:val="22"/>
          <w:szCs w:val="22"/>
        </w:rPr>
        <w:t>1</w:t>
      </w:r>
      <w:r w:rsidR="00551357" w:rsidRPr="00AA33EF">
        <w:rPr>
          <w:sz w:val="22"/>
          <w:szCs w:val="22"/>
        </w:rPr>
        <w:t xml:space="preserve">0 </w:t>
      </w:r>
      <w:r w:rsidR="00D00C79" w:rsidRPr="00AA33EF">
        <w:rPr>
          <w:sz w:val="22"/>
          <w:szCs w:val="22"/>
        </w:rPr>
        <w:t xml:space="preserve">by </w:t>
      </w:r>
      <w:r w:rsidR="00551357" w:rsidRPr="00AA33EF">
        <w:rPr>
          <w:sz w:val="22"/>
          <w:szCs w:val="22"/>
        </w:rPr>
        <w:t>the number of granted tempora</w:t>
      </w:r>
      <w:r w:rsidR="00D00C79" w:rsidRPr="00AA33EF">
        <w:rPr>
          <w:sz w:val="22"/>
          <w:szCs w:val="22"/>
        </w:rPr>
        <w:t>ry</w:t>
      </w:r>
      <w:r w:rsidR="00551357" w:rsidRPr="00AA33EF">
        <w:rPr>
          <w:sz w:val="22"/>
          <w:szCs w:val="22"/>
        </w:rPr>
        <w:t xml:space="preserve"> residence permits (see table). Since there are no numbers available </w:t>
      </w:r>
      <w:r w:rsidR="00D00C79" w:rsidRPr="00AA33EF">
        <w:rPr>
          <w:sz w:val="22"/>
          <w:szCs w:val="22"/>
        </w:rPr>
        <w:t>for</w:t>
      </w:r>
      <w:r w:rsidR="00551357" w:rsidRPr="00AA33EF">
        <w:rPr>
          <w:sz w:val="22"/>
          <w:szCs w:val="22"/>
        </w:rPr>
        <w:t xml:space="preserve"> the settlement permits granted under the residence scheme, it is not possible to measure the income received for the applicable administrative fee of EUR 124.</w:t>
      </w:r>
    </w:p>
    <w:p w14:paraId="0B091F4D" w14:textId="77777777" w:rsidR="00551357" w:rsidRPr="00AA33EF" w:rsidRDefault="00551357" w:rsidP="00D94CAF">
      <w:pPr>
        <w:spacing w:after="0" w:line="240" w:lineRule="auto"/>
        <w:jc w:val="both"/>
        <w:rPr>
          <w:sz w:val="22"/>
          <w:szCs w:val="22"/>
        </w:rPr>
      </w:pP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8"/>
        <w:gridCol w:w="2546"/>
        <w:gridCol w:w="2546"/>
        <w:gridCol w:w="2546"/>
      </w:tblGrid>
      <w:tr w:rsidR="00EA0A5A" w:rsidRPr="00AA33EF" w14:paraId="3401F780" w14:textId="0B57F7BE" w:rsidTr="00D00C79">
        <w:tc>
          <w:tcPr>
            <w:tcW w:w="764" w:type="pct"/>
            <w:shd w:val="clear" w:color="auto" w:fill="8EAADB" w:themeFill="accent1" w:themeFillTint="99"/>
          </w:tcPr>
          <w:p w14:paraId="3251A832" w14:textId="77777777" w:rsidR="00EA0A5A" w:rsidRPr="00AA33EF" w:rsidRDefault="00EA0A5A" w:rsidP="000F3738">
            <w:pPr>
              <w:rPr>
                <w:rFonts w:ascii="Century Gothic" w:eastAsiaTheme="minorHAnsi" w:hAnsi="Century Gothic"/>
                <w:b/>
                <w:sz w:val="16"/>
                <w:szCs w:val="16"/>
                <w:lang w:eastAsia="en-US"/>
              </w:rPr>
            </w:pPr>
            <w:r w:rsidRPr="00AA33EF">
              <w:rPr>
                <w:rFonts w:ascii="Century Gothic" w:hAnsi="Century Gothic"/>
                <w:b/>
                <w:sz w:val="16"/>
                <w:szCs w:val="16"/>
              </w:rPr>
              <w:t>Year</w:t>
            </w:r>
          </w:p>
        </w:tc>
        <w:tc>
          <w:tcPr>
            <w:tcW w:w="1412" w:type="pct"/>
            <w:shd w:val="clear" w:color="auto" w:fill="8EAADB" w:themeFill="accent1" w:themeFillTint="99"/>
          </w:tcPr>
          <w:p w14:paraId="17EB2BF4" w14:textId="3EE1AEAE" w:rsidR="00EA0A5A" w:rsidRPr="00AA33EF" w:rsidRDefault="00EA0A5A" w:rsidP="000F3738">
            <w:pPr>
              <w:jc w:val="both"/>
              <w:rPr>
                <w:rFonts w:ascii="Century Gothic" w:eastAsiaTheme="minorHAnsi" w:hAnsi="Century Gothic"/>
                <w:b/>
                <w:sz w:val="16"/>
                <w:szCs w:val="16"/>
                <w:lang w:eastAsia="en-US"/>
              </w:rPr>
            </w:pPr>
            <w:r w:rsidRPr="00AA33EF">
              <w:rPr>
                <w:rFonts w:ascii="Century Gothic" w:hAnsi="Century Gothic"/>
                <w:b/>
                <w:sz w:val="16"/>
                <w:szCs w:val="16"/>
              </w:rPr>
              <w:t>No. of successful grants of a tempora</w:t>
            </w:r>
            <w:r w:rsidR="00D00C79" w:rsidRPr="00AA33EF">
              <w:rPr>
                <w:rFonts w:ascii="Century Gothic" w:hAnsi="Century Gothic"/>
                <w:b/>
                <w:sz w:val="16"/>
                <w:szCs w:val="16"/>
              </w:rPr>
              <w:t xml:space="preserve">ry </w:t>
            </w:r>
            <w:r w:rsidRPr="00AA33EF">
              <w:rPr>
                <w:rFonts w:ascii="Century Gothic" w:hAnsi="Century Gothic"/>
                <w:b/>
                <w:sz w:val="16"/>
                <w:szCs w:val="16"/>
              </w:rPr>
              <w:t>residence permit</w:t>
            </w:r>
          </w:p>
        </w:tc>
        <w:tc>
          <w:tcPr>
            <w:tcW w:w="1412" w:type="pct"/>
            <w:shd w:val="clear" w:color="auto" w:fill="8EAADB" w:themeFill="accent1" w:themeFillTint="99"/>
          </w:tcPr>
          <w:p w14:paraId="0633CB15" w14:textId="04D4EDCF" w:rsidR="00EA0A5A" w:rsidRPr="00AA33EF" w:rsidRDefault="00D00C79" w:rsidP="004D5284">
            <w:pPr>
              <w:jc w:val="both"/>
              <w:rPr>
                <w:rFonts w:ascii="Century Gothic" w:hAnsi="Century Gothic"/>
                <w:b/>
                <w:sz w:val="16"/>
                <w:szCs w:val="16"/>
              </w:rPr>
            </w:pPr>
            <w:r w:rsidRPr="00AA33EF">
              <w:rPr>
                <w:rFonts w:ascii="Century Gothic" w:hAnsi="Century Gothic"/>
                <w:b/>
                <w:sz w:val="16"/>
                <w:szCs w:val="16"/>
              </w:rPr>
              <w:t>Administrative</w:t>
            </w:r>
            <w:r w:rsidR="00EA0A5A" w:rsidRPr="00AA33EF">
              <w:rPr>
                <w:rFonts w:ascii="Century Gothic" w:hAnsi="Century Gothic"/>
                <w:b/>
                <w:sz w:val="16"/>
                <w:szCs w:val="16"/>
              </w:rPr>
              <w:t xml:space="preserve"> fee </w:t>
            </w:r>
            <w:r w:rsidR="00E96E77" w:rsidRPr="00AA33EF">
              <w:rPr>
                <w:rFonts w:ascii="Century Gothic" w:hAnsi="Century Gothic"/>
                <w:b/>
                <w:sz w:val="16"/>
                <w:szCs w:val="16"/>
              </w:rPr>
              <w:t xml:space="preserve">for </w:t>
            </w:r>
            <w:r w:rsidR="00EA0A5A" w:rsidRPr="00AA33EF">
              <w:rPr>
                <w:rFonts w:ascii="Century Gothic" w:hAnsi="Century Gothic"/>
                <w:b/>
                <w:sz w:val="16"/>
                <w:szCs w:val="16"/>
              </w:rPr>
              <w:t>issuing tempora</w:t>
            </w:r>
            <w:r w:rsidRPr="00AA33EF">
              <w:rPr>
                <w:rFonts w:ascii="Century Gothic" w:hAnsi="Century Gothic"/>
                <w:b/>
                <w:sz w:val="16"/>
                <w:szCs w:val="16"/>
              </w:rPr>
              <w:t xml:space="preserve">ry </w:t>
            </w:r>
            <w:r w:rsidR="00EA0A5A" w:rsidRPr="00AA33EF">
              <w:rPr>
                <w:rFonts w:ascii="Century Gothic" w:hAnsi="Century Gothic"/>
                <w:b/>
                <w:sz w:val="16"/>
                <w:szCs w:val="16"/>
              </w:rPr>
              <w:t>residence permit</w:t>
            </w:r>
          </w:p>
        </w:tc>
        <w:tc>
          <w:tcPr>
            <w:tcW w:w="1412" w:type="pct"/>
            <w:shd w:val="clear" w:color="auto" w:fill="8EAADB" w:themeFill="accent1" w:themeFillTint="99"/>
          </w:tcPr>
          <w:p w14:paraId="48C7F2AA" w14:textId="4BE7521E" w:rsidR="00EA0A5A" w:rsidRPr="00AA33EF" w:rsidRDefault="00EA0A5A">
            <w:pPr>
              <w:jc w:val="both"/>
              <w:rPr>
                <w:rFonts w:ascii="Century Gothic" w:hAnsi="Century Gothic"/>
                <w:b/>
                <w:sz w:val="16"/>
                <w:szCs w:val="16"/>
              </w:rPr>
            </w:pPr>
            <w:r w:rsidRPr="00AA33EF">
              <w:rPr>
                <w:rFonts w:ascii="Century Gothic" w:hAnsi="Century Gothic"/>
                <w:b/>
                <w:sz w:val="16"/>
                <w:szCs w:val="16"/>
              </w:rPr>
              <w:t xml:space="preserve">Total income received on </w:t>
            </w:r>
            <w:r w:rsidR="00E96E77" w:rsidRPr="00AA33EF">
              <w:rPr>
                <w:rFonts w:ascii="Century Gothic" w:hAnsi="Century Gothic"/>
                <w:b/>
                <w:sz w:val="16"/>
                <w:szCs w:val="16"/>
              </w:rPr>
              <w:t xml:space="preserve">the </w:t>
            </w:r>
            <w:r w:rsidRPr="00AA33EF">
              <w:rPr>
                <w:rFonts w:ascii="Century Gothic" w:hAnsi="Century Gothic"/>
                <w:b/>
                <w:sz w:val="16"/>
                <w:szCs w:val="16"/>
              </w:rPr>
              <w:t xml:space="preserve">basis of EUR 110 fee </w:t>
            </w:r>
          </w:p>
        </w:tc>
      </w:tr>
      <w:tr w:rsidR="00EA0A5A" w:rsidRPr="00AA33EF" w14:paraId="1A68CECF" w14:textId="39B537E7" w:rsidTr="00D00C79">
        <w:tc>
          <w:tcPr>
            <w:tcW w:w="764" w:type="pct"/>
            <w:shd w:val="clear" w:color="auto" w:fill="D9E2F3" w:themeFill="accent1" w:themeFillTint="33"/>
          </w:tcPr>
          <w:p w14:paraId="4A80BB65" w14:textId="77777777" w:rsidR="00EA0A5A" w:rsidRPr="00AA33EF" w:rsidRDefault="00EA0A5A" w:rsidP="006D2C93">
            <w:pPr>
              <w:rPr>
                <w:rFonts w:ascii="Century Gothic" w:eastAsiaTheme="minorHAnsi" w:hAnsi="Century Gothic"/>
                <w:sz w:val="16"/>
                <w:szCs w:val="16"/>
                <w:lang w:eastAsia="en-US"/>
              </w:rPr>
            </w:pPr>
            <w:r w:rsidRPr="00AA33EF">
              <w:rPr>
                <w:rFonts w:ascii="Century Gothic" w:hAnsi="Century Gothic"/>
                <w:sz w:val="16"/>
                <w:szCs w:val="16"/>
              </w:rPr>
              <w:t>2012</w:t>
            </w:r>
          </w:p>
        </w:tc>
        <w:tc>
          <w:tcPr>
            <w:tcW w:w="1412" w:type="pct"/>
            <w:shd w:val="clear" w:color="auto" w:fill="D9D9D9" w:themeFill="background1" w:themeFillShade="D9"/>
          </w:tcPr>
          <w:p w14:paraId="2CE64EC6" w14:textId="77777777" w:rsidR="00EA0A5A" w:rsidRPr="00AA33EF" w:rsidRDefault="00EA0A5A" w:rsidP="006D2C93">
            <w:pPr>
              <w:jc w:val="both"/>
              <w:rPr>
                <w:rFonts w:ascii="Century Gothic" w:eastAsiaTheme="minorHAnsi" w:hAnsi="Century Gothic"/>
                <w:sz w:val="16"/>
                <w:szCs w:val="16"/>
                <w:lang w:eastAsia="en-US"/>
              </w:rPr>
            </w:pPr>
            <w:r w:rsidRPr="00AA33EF">
              <w:rPr>
                <w:rFonts w:ascii="Century Gothic" w:hAnsi="Century Gothic"/>
                <w:sz w:val="16"/>
                <w:szCs w:val="16"/>
              </w:rPr>
              <w:t>1.358</w:t>
            </w:r>
          </w:p>
        </w:tc>
        <w:tc>
          <w:tcPr>
            <w:tcW w:w="1412" w:type="pct"/>
            <w:shd w:val="clear" w:color="auto" w:fill="D9D9D9" w:themeFill="background1" w:themeFillShade="D9"/>
          </w:tcPr>
          <w:p w14:paraId="5B6C8BA6" w14:textId="57DC5F4C" w:rsidR="00EA0A5A" w:rsidRPr="00AA33EF" w:rsidRDefault="00EA0A5A" w:rsidP="006D2C93">
            <w:pPr>
              <w:jc w:val="both"/>
              <w:rPr>
                <w:rFonts w:ascii="Century Gothic" w:hAnsi="Century Gothic"/>
                <w:sz w:val="16"/>
                <w:szCs w:val="16"/>
              </w:rPr>
            </w:pPr>
            <w:r w:rsidRPr="00AA33EF">
              <w:rPr>
                <w:rFonts w:ascii="Century Gothic" w:hAnsi="Century Gothic"/>
                <w:sz w:val="16"/>
                <w:szCs w:val="16"/>
              </w:rPr>
              <w:t>EUR 110</w:t>
            </w:r>
          </w:p>
        </w:tc>
        <w:tc>
          <w:tcPr>
            <w:tcW w:w="1412" w:type="pct"/>
            <w:shd w:val="clear" w:color="auto" w:fill="D9D9D9" w:themeFill="background1" w:themeFillShade="D9"/>
          </w:tcPr>
          <w:p w14:paraId="782E7214" w14:textId="0C029DCD" w:rsidR="00EA0A5A" w:rsidRPr="00AA33EF" w:rsidRDefault="00EA0A5A" w:rsidP="006D2C93">
            <w:pPr>
              <w:jc w:val="both"/>
              <w:rPr>
                <w:rFonts w:ascii="Century Gothic" w:hAnsi="Century Gothic"/>
                <w:sz w:val="16"/>
                <w:szCs w:val="16"/>
              </w:rPr>
            </w:pPr>
            <w:r w:rsidRPr="00AA33EF">
              <w:rPr>
                <w:rFonts w:ascii="Century Gothic" w:hAnsi="Century Gothic"/>
                <w:sz w:val="16"/>
                <w:szCs w:val="16"/>
              </w:rPr>
              <w:t>149.380</w:t>
            </w:r>
          </w:p>
        </w:tc>
      </w:tr>
      <w:tr w:rsidR="00EA0A5A" w:rsidRPr="00AA33EF" w14:paraId="38CA72B2" w14:textId="28DB6F50" w:rsidTr="00D00C79">
        <w:tc>
          <w:tcPr>
            <w:tcW w:w="764" w:type="pct"/>
            <w:shd w:val="clear" w:color="auto" w:fill="D9E2F3" w:themeFill="accent1" w:themeFillTint="33"/>
          </w:tcPr>
          <w:p w14:paraId="41D29C9D" w14:textId="77777777" w:rsidR="00EA0A5A" w:rsidRPr="00AA33EF" w:rsidRDefault="00EA0A5A" w:rsidP="00EA0A5A">
            <w:pPr>
              <w:rPr>
                <w:rFonts w:ascii="Century Gothic" w:eastAsiaTheme="minorHAnsi" w:hAnsi="Century Gothic"/>
                <w:sz w:val="16"/>
                <w:szCs w:val="16"/>
                <w:lang w:eastAsia="en-US"/>
              </w:rPr>
            </w:pPr>
            <w:r w:rsidRPr="00AA33EF">
              <w:rPr>
                <w:rFonts w:ascii="Century Gothic" w:hAnsi="Century Gothic"/>
                <w:sz w:val="16"/>
                <w:szCs w:val="16"/>
              </w:rPr>
              <w:t>2013</w:t>
            </w:r>
          </w:p>
        </w:tc>
        <w:tc>
          <w:tcPr>
            <w:tcW w:w="1412" w:type="pct"/>
            <w:shd w:val="clear" w:color="auto" w:fill="D9D9D9" w:themeFill="background1" w:themeFillShade="D9"/>
          </w:tcPr>
          <w:p w14:paraId="6AB83B5E" w14:textId="77777777" w:rsidR="00EA0A5A" w:rsidRPr="00AA33EF" w:rsidRDefault="00EA0A5A" w:rsidP="00EA0A5A">
            <w:pPr>
              <w:jc w:val="both"/>
              <w:rPr>
                <w:rFonts w:ascii="Century Gothic" w:eastAsiaTheme="minorHAnsi" w:hAnsi="Century Gothic"/>
                <w:sz w:val="16"/>
                <w:szCs w:val="16"/>
                <w:lang w:eastAsia="en-US"/>
              </w:rPr>
            </w:pPr>
            <w:r w:rsidRPr="00AA33EF">
              <w:rPr>
                <w:rFonts w:ascii="Century Gothic" w:hAnsi="Century Gothic"/>
                <w:sz w:val="16"/>
                <w:szCs w:val="16"/>
              </w:rPr>
              <w:t>1.690</w:t>
            </w:r>
          </w:p>
        </w:tc>
        <w:tc>
          <w:tcPr>
            <w:tcW w:w="1412" w:type="pct"/>
            <w:shd w:val="clear" w:color="auto" w:fill="D9D9D9" w:themeFill="background1" w:themeFillShade="D9"/>
          </w:tcPr>
          <w:p w14:paraId="35F81B8A" w14:textId="484B72B7"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EUR 110</w:t>
            </w:r>
          </w:p>
        </w:tc>
        <w:tc>
          <w:tcPr>
            <w:tcW w:w="1412" w:type="pct"/>
            <w:shd w:val="clear" w:color="auto" w:fill="D9D9D9" w:themeFill="background1" w:themeFillShade="D9"/>
          </w:tcPr>
          <w:p w14:paraId="054A2842" w14:textId="6E3658C3"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185.900</w:t>
            </w:r>
          </w:p>
        </w:tc>
      </w:tr>
      <w:tr w:rsidR="00EA0A5A" w:rsidRPr="00AA33EF" w14:paraId="4F20E85E" w14:textId="08F71770" w:rsidTr="00D00C79">
        <w:tc>
          <w:tcPr>
            <w:tcW w:w="764" w:type="pct"/>
            <w:shd w:val="clear" w:color="auto" w:fill="D9E2F3" w:themeFill="accent1" w:themeFillTint="33"/>
          </w:tcPr>
          <w:p w14:paraId="499EDF92" w14:textId="77777777" w:rsidR="00EA0A5A" w:rsidRPr="00AA33EF" w:rsidRDefault="00EA0A5A" w:rsidP="00EA0A5A">
            <w:pPr>
              <w:rPr>
                <w:rFonts w:ascii="Century Gothic" w:eastAsiaTheme="minorHAnsi" w:hAnsi="Century Gothic"/>
                <w:sz w:val="16"/>
                <w:szCs w:val="16"/>
                <w:lang w:eastAsia="en-US"/>
              </w:rPr>
            </w:pPr>
            <w:r w:rsidRPr="00AA33EF">
              <w:rPr>
                <w:rFonts w:ascii="Century Gothic" w:hAnsi="Century Gothic"/>
                <w:sz w:val="16"/>
                <w:szCs w:val="16"/>
              </w:rPr>
              <w:t>2014</w:t>
            </w:r>
          </w:p>
        </w:tc>
        <w:tc>
          <w:tcPr>
            <w:tcW w:w="1412" w:type="pct"/>
            <w:shd w:val="clear" w:color="auto" w:fill="D9D9D9" w:themeFill="background1" w:themeFillShade="D9"/>
          </w:tcPr>
          <w:p w14:paraId="164423DF" w14:textId="77777777" w:rsidR="00EA0A5A" w:rsidRPr="00AA33EF" w:rsidRDefault="00EA0A5A" w:rsidP="00EA0A5A">
            <w:pPr>
              <w:jc w:val="both"/>
              <w:rPr>
                <w:rFonts w:ascii="Century Gothic" w:eastAsiaTheme="minorHAnsi" w:hAnsi="Century Gothic"/>
                <w:sz w:val="16"/>
                <w:szCs w:val="16"/>
                <w:lang w:eastAsia="en-US"/>
              </w:rPr>
            </w:pPr>
            <w:r w:rsidRPr="00AA33EF">
              <w:rPr>
                <w:rFonts w:ascii="Century Gothic" w:hAnsi="Century Gothic"/>
                <w:sz w:val="16"/>
                <w:szCs w:val="16"/>
              </w:rPr>
              <w:t>1.781</w:t>
            </w:r>
          </w:p>
        </w:tc>
        <w:tc>
          <w:tcPr>
            <w:tcW w:w="1412" w:type="pct"/>
            <w:shd w:val="clear" w:color="auto" w:fill="D9D9D9" w:themeFill="background1" w:themeFillShade="D9"/>
          </w:tcPr>
          <w:p w14:paraId="1F2C76E4" w14:textId="117CB0D9"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EUR 110</w:t>
            </w:r>
          </w:p>
        </w:tc>
        <w:tc>
          <w:tcPr>
            <w:tcW w:w="1412" w:type="pct"/>
            <w:shd w:val="clear" w:color="auto" w:fill="D9D9D9" w:themeFill="background1" w:themeFillShade="D9"/>
          </w:tcPr>
          <w:p w14:paraId="0A4AE4A7" w14:textId="0A4549CA" w:rsidR="00EA0A5A" w:rsidRPr="00AA33EF" w:rsidRDefault="00EA0A5A">
            <w:pPr>
              <w:jc w:val="both"/>
              <w:rPr>
                <w:rFonts w:ascii="Century Gothic" w:hAnsi="Century Gothic"/>
                <w:sz w:val="16"/>
                <w:szCs w:val="16"/>
              </w:rPr>
            </w:pPr>
            <w:r w:rsidRPr="00AA33EF">
              <w:rPr>
                <w:rFonts w:ascii="Century Gothic" w:hAnsi="Century Gothic"/>
                <w:sz w:val="16"/>
                <w:szCs w:val="16"/>
              </w:rPr>
              <w:t>195.910</w:t>
            </w:r>
          </w:p>
        </w:tc>
      </w:tr>
      <w:tr w:rsidR="00EA0A5A" w:rsidRPr="00AA33EF" w14:paraId="1C7BE5BD" w14:textId="7632A0A6" w:rsidTr="00D00C79">
        <w:tc>
          <w:tcPr>
            <w:tcW w:w="764" w:type="pct"/>
            <w:shd w:val="clear" w:color="auto" w:fill="D9E2F3" w:themeFill="accent1" w:themeFillTint="33"/>
          </w:tcPr>
          <w:p w14:paraId="3C7F4D7E" w14:textId="77777777" w:rsidR="00EA0A5A" w:rsidRPr="00AA33EF" w:rsidRDefault="00EA0A5A" w:rsidP="00EA0A5A">
            <w:pPr>
              <w:rPr>
                <w:rFonts w:ascii="Century Gothic" w:eastAsiaTheme="minorHAnsi" w:hAnsi="Century Gothic"/>
                <w:sz w:val="16"/>
                <w:szCs w:val="16"/>
                <w:lang w:eastAsia="en-US"/>
              </w:rPr>
            </w:pPr>
            <w:r w:rsidRPr="00AA33EF">
              <w:rPr>
                <w:rFonts w:ascii="Century Gothic" w:hAnsi="Century Gothic"/>
                <w:sz w:val="16"/>
                <w:szCs w:val="16"/>
              </w:rPr>
              <w:t>2015</w:t>
            </w:r>
          </w:p>
        </w:tc>
        <w:tc>
          <w:tcPr>
            <w:tcW w:w="1412" w:type="pct"/>
            <w:shd w:val="clear" w:color="auto" w:fill="D9D9D9" w:themeFill="background1" w:themeFillShade="D9"/>
          </w:tcPr>
          <w:p w14:paraId="19C10224" w14:textId="77777777" w:rsidR="00EA0A5A" w:rsidRPr="00AA33EF" w:rsidRDefault="00EA0A5A" w:rsidP="00EA0A5A">
            <w:pPr>
              <w:jc w:val="both"/>
              <w:rPr>
                <w:rFonts w:ascii="Century Gothic" w:eastAsiaTheme="minorHAnsi" w:hAnsi="Century Gothic"/>
                <w:sz w:val="16"/>
                <w:szCs w:val="16"/>
                <w:lang w:eastAsia="en-US"/>
              </w:rPr>
            </w:pPr>
            <w:r w:rsidRPr="00AA33EF">
              <w:rPr>
                <w:rFonts w:ascii="Century Gothic" w:hAnsi="Century Gothic"/>
                <w:sz w:val="16"/>
                <w:szCs w:val="16"/>
              </w:rPr>
              <w:t>1.782</w:t>
            </w:r>
          </w:p>
        </w:tc>
        <w:tc>
          <w:tcPr>
            <w:tcW w:w="1412" w:type="pct"/>
            <w:shd w:val="clear" w:color="auto" w:fill="D9D9D9" w:themeFill="background1" w:themeFillShade="D9"/>
          </w:tcPr>
          <w:p w14:paraId="4C3E52C7" w14:textId="77992A8D"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EUR 110</w:t>
            </w:r>
          </w:p>
        </w:tc>
        <w:tc>
          <w:tcPr>
            <w:tcW w:w="1412" w:type="pct"/>
            <w:shd w:val="clear" w:color="auto" w:fill="D9D9D9" w:themeFill="background1" w:themeFillShade="D9"/>
          </w:tcPr>
          <w:p w14:paraId="0F49F32C" w14:textId="07D9DEA0"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196.020</w:t>
            </w:r>
          </w:p>
        </w:tc>
      </w:tr>
      <w:tr w:rsidR="00EA0A5A" w:rsidRPr="00AA33EF" w14:paraId="3CB9B517" w14:textId="2302A3FF" w:rsidTr="00D00C79">
        <w:tc>
          <w:tcPr>
            <w:tcW w:w="764" w:type="pct"/>
            <w:shd w:val="clear" w:color="auto" w:fill="D9E2F3" w:themeFill="accent1" w:themeFillTint="33"/>
          </w:tcPr>
          <w:p w14:paraId="58294226" w14:textId="77777777" w:rsidR="00EA0A5A" w:rsidRPr="00AA33EF" w:rsidRDefault="00EA0A5A" w:rsidP="00EA0A5A">
            <w:pPr>
              <w:rPr>
                <w:rFonts w:ascii="Century Gothic" w:eastAsiaTheme="minorHAnsi" w:hAnsi="Century Gothic"/>
                <w:sz w:val="16"/>
                <w:szCs w:val="16"/>
                <w:lang w:eastAsia="en-US"/>
              </w:rPr>
            </w:pPr>
            <w:r w:rsidRPr="00AA33EF">
              <w:rPr>
                <w:rFonts w:ascii="Century Gothic" w:hAnsi="Century Gothic"/>
                <w:sz w:val="16"/>
                <w:szCs w:val="16"/>
              </w:rPr>
              <w:t>2016</w:t>
            </w:r>
          </w:p>
        </w:tc>
        <w:tc>
          <w:tcPr>
            <w:tcW w:w="1412" w:type="pct"/>
            <w:shd w:val="clear" w:color="auto" w:fill="D9D9D9" w:themeFill="background1" w:themeFillShade="D9"/>
          </w:tcPr>
          <w:p w14:paraId="20717C49" w14:textId="77777777" w:rsidR="00EA0A5A" w:rsidRPr="00AA33EF" w:rsidRDefault="00EA0A5A" w:rsidP="00EA0A5A">
            <w:pPr>
              <w:jc w:val="both"/>
              <w:rPr>
                <w:rFonts w:ascii="Century Gothic" w:eastAsiaTheme="minorHAnsi" w:hAnsi="Century Gothic"/>
                <w:sz w:val="16"/>
                <w:szCs w:val="16"/>
                <w:lang w:eastAsia="en-US"/>
              </w:rPr>
            </w:pPr>
            <w:r w:rsidRPr="00AA33EF">
              <w:rPr>
                <w:rFonts w:ascii="Century Gothic" w:hAnsi="Century Gothic"/>
                <w:sz w:val="16"/>
                <w:szCs w:val="16"/>
              </w:rPr>
              <w:t>1.733</w:t>
            </w:r>
          </w:p>
        </w:tc>
        <w:tc>
          <w:tcPr>
            <w:tcW w:w="1412" w:type="pct"/>
            <w:shd w:val="clear" w:color="auto" w:fill="D9D9D9" w:themeFill="background1" w:themeFillShade="D9"/>
          </w:tcPr>
          <w:p w14:paraId="5B5C55FD" w14:textId="4A026C7E"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EUR 110</w:t>
            </w:r>
          </w:p>
        </w:tc>
        <w:tc>
          <w:tcPr>
            <w:tcW w:w="1412" w:type="pct"/>
            <w:shd w:val="clear" w:color="auto" w:fill="D9D9D9" w:themeFill="background1" w:themeFillShade="D9"/>
          </w:tcPr>
          <w:p w14:paraId="375A2C47" w14:textId="0DFA6E0B" w:rsidR="00EA0A5A" w:rsidRPr="00AA33EF" w:rsidRDefault="00EA0A5A" w:rsidP="00EA0A5A">
            <w:pPr>
              <w:jc w:val="both"/>
              <w:rPr>
                <w:rFonts w:ascii="Century Gothic" w:hAnsi="Century Gothic"/>
                <w:sz w:val="16"/>
                <w:szCs w:val="16"/>
              </w:rPr>
            </w:pPr>
            <w:r w:rsidRPr="00AA33EF">
              <w:rPr>
                <w:rFonts w:ascii="Century Gothic" w:hAnsi="Century Gothic"/>
                <w:sz w:val="16"/>
                <w:szCs w:val="16"/>
              </w:rPr>
              <w:t>190.630</w:t>
            </w:r>
          </w:p>
        </w:tc>
      </w:tr>
    </w:tbl>
    <w:p w14:paraId="37F702C0" w14:textId="3E6ED512" w:rsidR="00D94CAF" w:rsidRPr="00AA33EF" w:rsidRDefault="00D94CAF" w:rsidP="00D94CAF">
      <w:pPr>
        <w:spacing w:after="0" w:line="240" w:lineRule="auto"/>
        <w:jc w:val="both"/>
        <w:rPr>
          <w:sz w:val="22"/>
          <w:szCs w:val="22"/>
        </w:rPr>
      </w:pPr>
    </w:p>
    <w:p w14:paraId="34A71ACF" w14:textId="1081ABEA" w:rsidR="000F3738" w:rsidRPr="00AA33EF" w:rsidRDefault="00D94CAF" w:rsidP="00D94CAF">
      <w:pPr>
        <w:spacing w:after="0" w:line="240" w:lineRule="auto"/>
        <w:jc w:val="both"/>
        <w:rPr>
          <w:sz w:val="22"/>
          <w:szCs w:val="22"/>
        </w:rPr>
      </w:pPr>
      <w:r w:rsidRPr="00AA33EF">
        <w:rPr>
          <w:sz w:val="22"/>
          <w:szCs w:val="22"/>
        </w:rPr>
        <w:t xml:space="preserve">Since the competent authorities are the 500 FOs, which fall under the supervision of the Länder, there is </w:t>
      </w:r>
      <w:r w:rsidRPr="00AA33EF">
        <w:rPr>
          <w:b/>
          <w:sz w:val="22"/>
          <w:szCs w:val="22"/>
        </w:rPr>
        <w:t>no federal monitoring of the economic effects of the residence scheme</w:t>
      </w:r>
      <w:r w:rsidR="0040634E" w:rsidRPr="00AA33EF">
        <w:rPr>
          <w:sz w:val="22"/>
          <w:szCs w:val="22"/>
        </w:rPr>
        <w:t xml:space="preserve"> and there is </w:t>
      </w:r>
      <w:r w:rsidR="00DF221F" w:rsidRPr="00AA33EF">
        <w:rPr>
          <w:b/>
          <w:sz w:val="22"/>
          <w:szCs w:val="22"/>
        </w:rPr>
        <w:t>almost</w:t>
      </w:r>
      <w:r w:rsidR="00DF221F" w:rsidRPr="00AA33EF">
        <w:rPr>
          <w:sz w:val="22"/>
          <w:szCs w:val="22"/>
        </w:rPr>
        <w:t xml:space="preserve"> </w:t>
      </w:r>
      <w:r w:rsidR="0040634E" w:rsidRPr="00AA33EF">
        <w:rPr>
          <w:b/>
          <w:sz w:val="22"/>
          <w:szCs w:val="22"/>
        </w:rPr>
        <w:t>no information on the economic or financial impact</w:t>
      </w:r>
      <w:r w:rsidR="0040634E" w:rsidRPr="00AA33EF">
        <w:rPr>
          <w:sz w:val="22"/>
          <w:szCs w:val="22"/>
        </w:rPr>
        <w:t xml:space="preserve"> of the scheme in practice.</w:t>
      </w:r>
      <w:r w:rsidRPr="00AA33EF">
        <w:rPr>
          <w:sz w:val="22"/>
          <w:szCs w:val="22"/>
        </w:rPr>
        <w:t xml:space="preserve">  </w:t>
      </w:r>
      <w:r w:rsidR="0040634E" w:rsidRPr="00AA33EF">
        <w:rPr>
          <w:sz w:val="22"/>
          <w:szCs w:val="22"/>
        </w:rPr>
        <w:t xml:space="preserve">The main reason for the German scheme is </w:t>
      </w:r>
      <w:r w:rsidR="0040634E" w:rsidRPr="00AA33EF">
        <w:rPr>
          <w:b/>
          <w:sz w:val="22"/>
          <w:szCs w:val="22"/>
        </w:rPr>
        <w:t>to attract entrepreneurs who will contribute to the German economy</w:t>
      </w:r>
      <w:r w:rsidR="0040634E" w:rsidRPr="00AA33EF">
        <w:rPr>
          <w:sz w:val="22"/>
          <w:szCs w:val="22"/>
        </w:rPr>
        <w:t xml:space="preserve"> and </w:t>
      </w:r>
      <w:r w:rsidR="008C634F" w:rsidRPr="00AA33EF">
        <w:rPr>
          <w:sz w:val="22"/>
          <w:szCs w:val="22"/>
        </w:rPr>
        <w:t>presumably it therefore has a positive impact on the German economy in terms of investment in the country and job creation</w:t>
      </w:r>
      <w:r w:rsidR="0040634E" w:rsidRPr="00AA33EF">
        <w:rPr>
          <w:sz w:val="22"/>
          <w:szCs w:val="22"/>
        </w:rPr>
        <w:t>.</w:t>
      </w:r>
      <w:r w:rsidR="008C634F" w:rsidRPr="00AA33EF">
        <w:rPr>
          <w:sz w:val="22"/>
          <w:szCs w:val="22"/>
        </w:rPr>
        <w:t xml:space="preserve"> </w:t>
      </w:r>
    </w:p>
    <w:p w14:paraId="36DD2813" w14:textId="278858C5" w:rsidR="000749C4" w:rsidRPr="00AA33EF" w:rsidRDefault="000749C4" w:rsidP="0054389D">
      <w:pPr>
        <w:spacing w:after="0" w:line="240" w:lineRule="auto"/>
        <w:jc w:val="both"/>
        <w:rPr>
          <w:sz w:val="22"/>
          <w:szCs w:val="22"/>
        </w:rPr>
      </w:pPr>
    </w:p>
    <w:sectPr w:rsidR="000749C4" w:rsidRPr="00AA33EF" w:rsidSect="000D3FFC">
      <w:footerReference w:type="default" r:id="rId7"/>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4001" w14:textId="77777777" w:rsidR="00B570CE" w:rsidRDefault="00B570CE" w:rsidP="00C85D46">
      <w:pPr>
        <w:spacing w:after="0" w:line="240" w:lineRule="auto"/>
      </w:pPr>
      <w:r>
        <w:separator/>
      </w:r>
    </w:p>
  </w:endnote>
  <w:endnote w:type="continuationSeparator" w:id="0">
    <w:p w14:paraId="66FEFDB9" w14:textId="77777777" w:rsidR="00B570CE" w:rsidRDefault="00B570CE" w:rsidP="00C8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3B0DE" w14:textId="77777777" w:rsidR="000D3FFC" w:rsidRDefault="000D3FFC" w:rsidP="000D3FFC">
    <w:pPr>
      <w:pStyle w:val="Footer"/>
    </w:pPr>
  </w:p>
  <w:tbl>
    <w:tblPr>
      <w:tblW w:w="5000" w:type="pct"/>
      <w:tblBorders>
        <w:top w:val="single" w:sz="4" w:space="0" w:color="auto"/>
      </w:tblBorders>
      <w:tblLook w:val="01E0" w:firstRow="1" w:lastRow="1" w:firstColumn="1" w:lastColumn="1" w:noHBand="0" w:noVBand="0"/>
    </w:tblPr>
    <w:tblGrid>
      <w:gridCol w:w="2168"/>
      <w:gridCol w:w="6858"/>
    </w:tblGrid>
    <w:tr w:rsidR="000D3FFC" w14:paraId="5AFBDD6C" w14:textId="77777777" w:rsidTr="000D3FFC">
      <w:tc>
        <w:tcPr>
          <w:tcW w:w="1201" w:type="pct"/>
          <w:tcBorders>
            <w:top w:val="single" w:sz="4" w:space="0" w:color="auto"/>
            <w:left w:val="nil"/>
            <w:bottom w:val="nil"/>
            <w:right w:val="nil"/>
          </w:tcBorders>
          <w:hideMark/>
        </w:tcPr>
        <w:p w14:paraId="0AE5032D" w14:textId="77777777" w:rsidR="000D3FFC" w:rsidRDefault="000D3FFC" w:rsidP="000D3FFC">
          <w:pPr>
            <w:tabs>
              <w:tab w:val="left" w:pos="1212"/>
            </w:tabs>
            <w:spacing w:after="0" w:line="240" w:lineRule="auto"/>
            <w:ind w:right="360"/>
            <w:rPr>
              <w:rFonts w:eastAsia="Times New Roman"/>
              <w:i/>
              <w:szCs w:val="24"/>
              <w:lang w:eastAsia="fr-FR"/>
            </w:rPr>
          </w:pPr>
          <w:r>
            <w:rPr>
              <w:rFonts w:eastAsia="Times New Roman"/>
              <w:i/>
              <w:szCs w:val="24"/>
              <w:lang w:eastAsia="fr-FR"/>
            </w:rPr>
            <w:t xml:space="preserve">Milieu Ltd </w:t>
          </w:r>
        </w:p>
        <w:p w14:paraId="0EB7969D" w14:textId="77777777" w:rsidR="000D3FFC" w:rsidRDefault="000D3FFC" w:rsidP="000D3FFC">
          <w:pPr>
            <w:tabs>
              <w:tab w:val="center" w:pos="4153"/>
              <w:tab w:val="right" w:pos="8306"/>
            </w:tabs>
            <w:spacing w:after="0" w:line="240" w:lineRule="auto"/>
            <w:ind w:right="360"/>
            <w:rPr>
              <w:rFonts w:eastAsia="Times New Roman"/>
              <w:i/>
              <w:szCs w:val="24"/>
              <w:lang w:eastAsia="fr-FR"/>
            </w:rPr>
          </w:pPr>
          <w:r>
            <w:rPr>
              <w:rFonts w:eastAsia="Times New Roman"/>
              <w:i/>
              <w:szCs w:val="24"/>
              <w:lang w:eastAsia="fr-FR"/>
            </w:rPr>
            <w:t>Brussels, July 2018</w:t>
          </w:r>
        </w:p>
      </w:tc>
      <w:tc>
        <w:tcPr>
          <w:tcW w:w="3799" w:type="pct"/>
          <w:tcBorders>
            <w:top w:val="single" w:sz="4" w:space="0" w:color="auto"/>
            <w:left w:val="nil"/>
            <w:bottom w:val="nil"/>
            <w:right w:val="nil"/>
          </w:tcBorders>
          <w:hideMark/>
        </w:tcPr>
        <w:p w14:paraId="3419C087" w14:textId="052DF430" w:rsidR="000D3FFC" w:rsidRDefault="000D3FFC" w:rsidP="000D3FFC">
          <w:pPr>
            <w:tabs>
              <w:tab w:val="center" w:pos="4153"/>
              <w:tab w:val="right" w:pos="8306"/>
            </w:tabs>
            <w:spacing w:after="0" w:line="240" w:lineRule="auto"/>
            <w:ind w:right="19"/>
            <w:jc w:val="right"/>
            <w:rPr>
              <w:rFonts w:eastAsia="Times New Roman"/>
              <w:i/>
              <w:szCs w:val="24"/>
              <w:lang w:eastAsia="fr-FR"/>
            </w:rPr>
          </w:pPr>
          <w:r>
            <w:rPr>
              <w:rFonts w:eastAsia="Times New Roman"/>
              <w:i/>
              <w:szCs w:val="24"/>
              <w:lang w:eastAsia="fr-FR"/>
            </w:rPr>
            <w:t>Executive Summary – Investors’ Residence Schemes in Germany/</w:t>
          </w:r>
          <w:r>
            <w:rPr>
              <w:rFonts w:eastAsia="Times New Roman"/>
              <w:i/>
              <w:szCs w:val="24"/>
              <w:lang w:eastAsia="fr-FR"/>
            </w:rPr>
            <w:fldChar w:fldCharType="begin"/>
          </w:r>
          <w:r>
            <w:rPr>
              <w:rFonts w:eastAsia="Times New Roman"/>
              <w:i/>
              <w:szCs w:val="24"/>
              <w:lang w:eastAsia="fr-FR"/>
            </w:rPr>
            <w:instrText xml:space="preserve"> PAGE   \* MERGEFORMAT </w:instrText>
          </w:r>
          <w:r>
            <w:rPr>
              <w:rFonts w:eastAsia="Times New Roman"/>
              <w:i/>
              <w:szCs w:val="24"/>
              <w:lang w:eastAsia="fr-FR"/>
            </w:rPr>
            <w:fldChar w:fldCharType="separate"/>
          </w:r>
          <w:r>
            <w:rPr>
              <w:rFonts w:eastAsia="Times New Roman"/>
              <w:i/>
              <w:szCs w:val="24"/>
              <w:lang w:eastAsia="fr-FR"/>
            </w:rPr>
            <w:t>i</w:t>
          </w:r>
          <w:r>
            <w:rPr>
              <w:rFonts w:eastAsia="Times New Roman"/>
              <w:i/>
              <w:noProof/>
              <w:szCs w:val="24"/>
              <w:lang w:eastAsia="fr-FR"/>
            </w:rPr>
            <w:fldChar w:fldCharType="end"/>
          </w:r>
        </w:p>
      </w:tc>
    </w:tr>
  </w:tbl>
  <w:p w14:paraId="0B6A6509" w14:textId="77777777" w:rsidR="000D3FFC" w:rsidRDefault="000D3FFC" w:rsidP="000D3FFC">
    <w:pPr>
      <w:pStyle w:val="Footer"/>
    </w:pPr>
  </w:p>
  <w:p w14:paraId="2D30366E" w14:textId="77777777" w:rsidR="000D3FFC" w:rsidRDefault="000D3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59255" w14:textId="77777777" w:rsidR="00B570CE" w:rsidRDefault="00B570CE" w:rsidP="00C85D46">
      <w:pPr>
        <w:spacing w:after="0" w:line="240" w:lineRule="auto"/>
      </w:pPr>
      <w:r>
        <w:separator/>
      </w:r>
    </w:p>
  </w:footnote>
  <w:footnote w:type="continuationSeparator" w:id="0">
    <w:p w14:paraId="1A27D572" w14:textId="77777777" w:rsidR="00B570CE" w:rsidRDefault="00B570CE" w:rsidP="00C85D46">
      <w:pPr>
        <w:spacing w:after="0" w:line="240" w:lineRule="auto"/>
      </w:pPr>
      <w:r>
        <w:continuationSeparator/>
      </w:r>
    </w:p>
  </w:footnote>
  <w:footnote w:id="1">
    <w:p w14:paraId="20B7B969" w14:textId="1A32D3F1" w:rsidR="00C85D46" w:rsidRPr="00AA33EF" w:rsidRDefault="00C85D46" w:rsidP="00AA33EF">
      <w:pPr>
        <w:pStyle w:val="FootnoteText"/>
        <w:jc w:val="both"/>
        <w:rPr>
          <w:sz w:val="18"/>
          <w:szCs w:val="18"/>
        </w:rPr>
      </w:pPr>
      <w:r w:rsidRPr="00AA33EF">
        <w:rPr>
          <w:rStyle w:val="FootnoteReference"/>
          <w:sz w:val="18"/>
          <w:szCs w:val="18"/>
        </w:rPr>
        <w:footnoteRef/>
      </w:r>
      <w:r w:rsidRPr="00AA33EF">
        <w:rPr>
          <w:sz w:val="18"/>
          <w:szCs w:val="18"/>
        </w:rPr>
        <w:t xml:space="preserve"> Residence Act, </w:t>
      </w:r>
      <w:r w:rsidRPr="00AA33EF">
        <w:rPr>
          <w:i/>
          <w:sz w:val="18"/>
          <w:szCs w:val="18"/>
        </w:rPr>
        <w:t>Aufenthaltsgesetz</w:t>
      </w:r>
      <w:r w:rsidR="00CB57C6" w:rsidRPr="00AA33EF">
        <w:rPr>
          <w:i/>
          <w:sz w:val="18"/>
          <w:szCs w:val="18"/>
        </w:rPr>
        <w:t xml:space="preserve"> </w:t>
      </w:r>
      <w:r w:rsidR="00CB57C6" w:rsidRPr="00AA33EF">
        <w:rPr>
          <w:sz w:val="18"/>
          <w:szCs w:val="18"/>
        </w:rPr>
        <w:t>(</w:t>
      </w:r>
      <w:r w:rsidR="00CB57C6" w:rsidRPr="00AA33EF">
        <w:rPr>
          <w:b/>
          <w:sz w:val="18"/>
          <w:szCs w:val="18"/>
        </w:rPr>
        <w:t>Residence Act</w:t>
      </w:r>
      <w:r w:rsidR="00CB57C6" w:rsidRPr="00AA33EF">
        <w:rPr>
          <w:sz w:val="18"/>
          <w:szCs w:val="18"/>
        </w:rPr>
        <w:t>)</w:t>
      </w:r>
      <w:r w:rsidRPr="00AA33EF">
        <w:rPr>
          <w:sz w:val="18"/>
          <w:szCs w:val="18"/>
        </w:rPr>
        <w:t xml:space="preserve">, in the version of the publication of 25 February 2008 (BGBl. I p. 162), most recently amended by </w:t>
      </w:r>
      <w:r w:rsidR="008C634F" w:rsidRPr="00AA33EF">
        <w:rPr>
          <w:sz w:val="18"/>
          <w:szCs w:val="18"/>
        </w:rPr>
        <w:t xml:space="preserve">Act </w:t>
      </w:r>
      <w:r w:rsidRPr="00AA33EF">
        <w:rPr>
          <w:sz w:val="18"/>
          <w:szCs w:val="18"/>
        </w:rPr>
        <w:t xml:space="preserve">of 8 March 2018 (BGBl. I p. 342), available at: </w:t>
      </w:r>
      <w:hyperlink r:id="rId1" w:anchor="BJNR195010004BJNG000101310" w:history="1">
        <w:r w:rsidRPr="00AA33EF">
          <w:rPr>
            <w:rStyle w:val="Hyperlink"/>
            <w:sz w:val="18"/>
            <w:szCs w:val="18"/>
          </w:rPr>
          <w:t>https://www.gesetze-im-internet.de/aufenthg_2004/BJNR195010004.html#BJNR195010004BJNG000101310</w:t>
        </w:r>
      </w:hyperlink>
      <w:r w:rsidRPr="00AA33EF">
        <w:rPr>
          <w:sz w:val="18"/>
          <w:szCs w:val="18"/>
        </w:rPr>
        <w:t>.</w:t>
      </w:r>
    </w:p>
  </w:footnote>
  <w:footnote w:id="2">
    <w:p w14:paraId="492A97F6" w14:textId="466C5ADA" w:rsidR="00C85D46" w:rsidRPr="00AA33EF" w:rsidRDefault="00C85D46" w:rsidP="00AA33EF">
      <w:pPr>
        <w:pStyle w:val="FootnoteText"/>
        <w:jc w:val="both"/>
        <w:rPr>
          <w:sz w:val="18"/>
          <w:szCs w:val="18"/>
        </w:rPr>
      </w:pPr>
      <w:r w:rsidRPr="00AA33EF">
        <w:rPr>
          <w:rStyle w:val="FootnoteReference"/>
          <w:sz w:val="18"/>
          <w:szCs w:val="18"/>
        </w:rPr>
        <w:footnoteRef/>
      </w:r>
      <w:r w:rsidRPr="00AA33EF">
        <w:rPr>
          <w:sz w:val="18"/>
          <w:szCs w:val="18"/>
        </w:rPr>
        <w:t xml:space="preserve"> General Residence Act Implementation Instruction, </w:t>
      </w:r>
      <w:r w:rsidRPr="00AA33EF">
        <w:rPr>
          <w:i/>
          <w:sz w:val="18"/>
          <w:szCs w:val="18"/>
        </w:rPr>
        <w:t>Allgemeine Verwaltungsvorschrift zum Aufenthaltsgesetz</w:t>
      </w:r>
      <w:r w:rsidR="00CB57C6" w:rsidRPr="00AA33EF">
        <w:rPr>
          <w:i/>
          <w:sz w:val="18"/>
          <w:szCs w:val="18"/>
        </w:rPr>
        <w:t xml:space="preserve"> </w:t>
      </w:r>
      <w:r w:rsidR="00CB57C6" w:rsidRPr="00AA33EF">
        <w:rPr>
          <w:sz w:val="18"/>
          <w:szCs w:val="18"/>
        </w:rPr>
        <w:t>(</w:t>
      </w:r>
      <w:r w:rsidR="00CB57C6" w:rsidRPr="00AA33EF">
        <w:rPr>
          <w:b/>
          <w:sz w:val="18"/>
          <w:szCs w:val="18"/>
        </w:rPr>
        <w:t>AufenthGAVwV)</w:t>
      </w:r>
      <w:r w:rsidRPr="00AA33EF">
        <w:rPr>
          <w:sz w:val="18"/>
          <w:szCs w:val="18"/>
        </w:rPr>
        <w:t xml:space="preserve">, adopted on 26 October 2009 (GMBL p 878), available at: </w:t>
      </w:r>
      <w:hyperlink r:id="rId2" w:history="1">
        <w:r w:rsidRPr="00AA33EF">
          <w:rPr>
            <w:rStyle w:val="Hyperlink"/>
            <w:sz w:val="18"/>
            <w:szCs w:val="18"/>
          </w:rPr>
          <w:t>http://www.verwaltungsvorschriften-im-internet.de/bsvwvbund_26102009_MI31284060.htm</w:t>
        </w:r>
      </w:hyperlink>
      <w:r w:rsidRPr="00AA33EF">
        <w:rPr>
          <w:sz w:val="18"/>
          <w:szCs w:val="18"/>
        </w:rPr>
        <w:t>.</w:t>
      </w:r>
    </w:p>
  </w:footnote>
  <w:footnote w:id="3">
    <w:p w14:paraId="0C99DDA1" w14:textId="4EE0D3A6" w:rsidR="00D06F99" w:rsidRPr="00AA33EF" w:rsidRDefault="00D06F99"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21(1) sentence 2 Residence Act and Point 21 AufenthGAVwV.</w:t>
      </w:r>
    </w:p>
  </w:footnote>
  <w:footnote w:id="4">
    <w:p w14:paraId="2D849599" w14:textId="77777777" w:rsidR="00F07766" w:rsidRPr="00AA33EF" w:rsidRDefault="00F07766"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48(1) VwVfG. </w:t>
      </w:r>
    </w:p>
  </w:footnote>
  <w:footnote w:id="5">
    <w:p w14:paraId="526BDAB5" w14:textId="77777777" w:rsidR="00F07766" w:rsidRPr="00AA33EF" w:rsidRDefault="00F07766"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48(3) VwVfG. </w:t>
      </w:r>
    </w:p>
  </w:footnote>
  <w:footnote w:id="6">
    <w:p w14:paraId="0EB24094" w14:textId="77777777" w:rsidR="00F07766" w:rsidRPr="00AA33EF" w:rsidRDefault="00F07766"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49(2) no 3 VwVfG.</w:t>
      </w:r>
    </w:p>
  </w:footnote>
  <w:footnote w:id="7">
    <w:p w14:paraId="676413AD" w14:textId="77777777" w:rsidR="00F07766" w:rsidRPr="00AA33EF" w:rsidRDefault="00F07766"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49(2) no 5 VwVfG.</w:t>
      </w:r>
    </w:p>
  </w:footnote>
  <w:footnote w:id="8">
    <w:p w14:paraId="0553D09B" w14:textId="77777777" w:rsidR="00F07766" w:rsidRPr="00AA33EF" w:rsidRDefault="00F07766" w:rsidP="00AA33EF">
      <w:pPr>
        <w:pStyle w:val="FootnoteText"/>
        <w:jc w:val="both"/>
        <w:rPr>
          <w:sz w:val="18"/>
          <w:szCs w:val="18"/>
        </w:rPr>
      </w:pPr>
      <w:r w:rsidRPr="00AA33EF">
        <w:rPr>
          <w:rStyle w:val="FootnoteReference"/>
          <w:sz w:val="18"/>
          <w:szCs w:val="18"/>
        </w:rPr>
        <w:footnoteRef/>
      </w:r>
      <w:r w:rsidRPr="00AA33EF">
        <w:rPr>
          <w:sz w:val="18"/>
          <w:szCs w:val="18"/>
        </w:rPr>
        <w:t xml:space="preserve"> Section 49(6) VwVfG.</w:t>
      </w:r>
    </w:p>
  </w:footnote>
  <w:footnote w:id="9">
    <w:p w14:paraId="15CBE89D" w14:textId="77777777" w:rsidR="00DD3C90" w:rsidRPr="00AA33EF" w:rsidRDefault="00DD3C90" w:rsidP="00AA33EF">
      <w:pPr>
        <w:pStyle w:val="FootnoteText"/>
        <w:jc w:val="both"/>
        <w:rPr>
          <w:sz w:val="18"/>
          <w:szCs w:val="18"/>
        </w:rPr>
      </w:pPr>
      <w:r w:rsidRPr="00AA33EF">
        <w:rPr>
          <w:rStyle w:val="FootnoteReference"/>
          <w:sz w:val="18"/>
          <w:szCs w:val="18"/>
        </w:rPr>
        <w:footnoteRef/>
      </w:r>
      <w:r w:rsidRPr="00AA33EF">
        <w:rPr>
          <w:sz w:val="18"/>
          <w:szCs w:val="18"/>
        </w:rPr>
        <w:t xml:space="preserve"> Nationality Act, </w:t>
      </w:r>
      <w:r w:rsidRPr="00AA33EF">
        <w:rPr>
          <w:i/>
          <w:sz w:val="18"/>
          <w:szCs w:val="18"/>
        </w:rPr>
        <w:t>Staatsangehörigkeitsgesetz</w:t>
      </w:r>
      <w:r w:rsidRPr="00AA33EF">
        <w:rPr>
          <w:sz w:val="18"/>
          <w:szCs w:val="18"/>
        </w:rPr>
        <w:t xml:space="preserve">, most recently amended by act of 11 October 2011 (BGBl. I p. 2218), 8 March 2018 (BGBl. I p. 342), available at: </w:t>
      </w:r>
      <w:hyperlink r:id="rId3" w:history="1">
        <w:r w:rsidRPr="00AA33EF">
          <w:rPr>
            <w:rStyle w:val="Hyperlink"/>
            <w:sz w:val="18"/>
            <w:szCs w:val="18"/>
          </w:rPr>
          <w:t>https://www.gesetze-im-internet.de/rustag/BJNR005830913.html</w:t>
        </w:r>
      </w:hyperlink>
      <w:r w:rsidRPr="00AA33EF">
        <w:rPr>
          <w:sz w:val="18"/>
          <w:szCs w:val="18"/>
        </w:rPr>
        <w:t xml:space="preserve">. </w:t>
      </w:r>
    </w:p>
  </w:footnote>
  <w:footnote w:id="10">
    <w:p w14:paraId="6733CFDC" w14:textId="746BA73F" w:rsidR="006D2C93" w:rsidRPr="00AA33EF" w:rsidRDefault="006D2C93" w:rsidP="00AA33EF">
      <w:pPr>
        <w:pStyle w:val="FootnoteText"/>
        <w:jc w:val="both"/>
        <w:rPr>
          <w:sz w:val="18"/>
          <w:szCs w:val="18"/>
        </w:rPr>
      </w:pPr>
      <w:r w:rsidRPr="00AA33EF">
        <w:rPr>
          <w:rStyle w:val="FootnoteReference"/>
          <w:sz w:val="18"/>
          <w:szCs w:val="18"/>
        </w:rPr>
        <w:footnoteRef/>
      </w:r>
      <w:r w:rsidRPr="00AA33EF">
        <w:rPr>
          <w:sz w:val="18"/>
          <w:szCs w:val="18"/>
        </w:rPr>
        <w:t xml:space="preserve"> </w:t>
      </w:r>
      <w:r w:rsidR="007B3D0C" w:rsidRPr="00AA33EF">
        <w:rPr>
          <w:sz w:val="18"/>
          <w:szCs w:val="18"/>
        </w:rPr>
        <w:t xml:space="preserve">It should be noted that pursuant to Article 2 of the Act of 13 July 2017 (BGBl.I p. 2350), the administrative fee was lowered to EUR 100 on 1 September 2017.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B707B"/>
    <w:multiLevelType w:val="hybridMultilevel"/>
    <w:tmpl w:val="F3C0ADF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680B4E26"/>
    <w:multiLevelType w:val="hybridMultilevel"/>
    <w:tmpl w:val="2676C860"/>
    <w:lvl w:ilvl="0" w:tplc="63E840B0">
      <w:start w:val="1"/>
      <w:numFmt w:val="bullet"/>
      <w:lvlText w:val=""/>
      <w:lvlJc w:val="left"/>
      <w:pPr>
        <w:ind w:left="720" w:hanging="360"/>
      </w:pPr>
      <w:rPr>
        <w:rFonts w:ascii="Wingdings" w:hAnsi="Wingdings" w:hint="default"/>
        <w:b w:val="0"/>
        <w:i w:val="0"/>
        <w:color w:val="4F81BD"/>
        <w:sz w:val="16"/>
        <w:u w:color="000080"/>
      </w:rPr>
    </w:lvl>
    <w:lvl w:ilvl="1" w:tplc="371233B0" w:tentative="1">
      <w:start w:val="1"/>
      <w:numFmt w:val="bullet"/>
      <w:lvlText w:val="o"/>
      <w:lvlJc w:val="left"/>
      <w:pPr>
        <w:ind w:left="1440" w:hanging="360"/>
      </w:pPr>
      <w:rPr>
        <w:rFonts w:ascii="Courier New" w:hAnsi="Courier New" w:cs="Courier New" w:hint="default"/>
      </w:rPr>
    </w:lvl>
    <w:lvl w:ilvl="2" w:tplc="5FA6F4CC" w:tentative="1">
      <w:start w:val="1"/>
      <w:numFmt w:val="bullet"/>
      <w:lvlText w:val=""/>
      <w:lvlJc w:val="left"/>
      <w:pPr>
        <w:ind w:left="2160" w:hanging="360"/>
      </w:pPr>
      <w:rPr>
        <w:rFonts w:ascii="Wingdings" w:hAnsi="Wingdings" w:hint="default"/>
      </w:rPr>
    </w:lvl>
    <w:lvl w:ilvl="3" w:tplc="DD0A857A" w:tentative="1">
      <w:start w:val="1"/>
      <w:numFmt w:val="bullet"/>
      <w:lvlText w:val=""/>
      <w:lvlJc w:val="left"/>
      <w:pPr>
        <w:ind w:left="2880" w:hanging="360"/>
      </w:pPr>
      <w:rPr>
        <w:rFonts w:ascii="Symbol" w:hAnsi="Symbol" w:hint="default"/>
      </w:rPr>
    </w:lvl>
    <w:lvl w:ilvl="4" w:tplc="2FE81CD6" w:tentative="1">
      <w:start w:val="1"/>
      <w:numFmt w:val="bullet"/>
      <w:lvlText w:val="o"/>
      <w:lvlJc w:val="left"/>
      <w:pPr>
        <w:ind w:left="3600" w:hanging="360"/>
      </w:pPr>
      <w:rPr>
        <w:rFonts w:ascii="Courier New" w:hAnsi="Courier New" w:cs="Courier New" w:hint="default"/>
      </w:rPr>
    </w:lvl>
    <w:lvl w:ilvl="5" w:tplc="AB4E7652" w:tentative="1">
      <w:start w:val="1"/>
      <w:numFmt w:val="bullet"/>
      <w:lvlText w:val=""/>
      <w:lvlJc w:val="left"/>
      <w:pPr>
        <w:ind w:left="4320" w:hanging="360"/>
      </w:pPr>
      <w:rPr>
        <w:rFonts w:ascii="Wingdings" w:hAnsi="Wingdings" w:hint="default"/>
      </w:rPr>
    </w:lvl>
    <w:lvl w:ilvl="6" w:tplc="82EC0742" w:tentative="1">
      <w:start w:val="1"/>
      <w:numFmt w:val="bullet"/>
      <w:lvlText w:val=""/>
      <w:lvlJc w:val="left"/>
      <w:pPr>
        <w:ind w:left="5040" w:hanging="360"/>
      </w:pPr>
      <w:rPr>
        <w:rFonts w:ascii="Symbol" w:hAnsi="Symbol" w:hint="default"/>
      </w:rPr>
    </w:lvl>
    <w:lvl w:ilvl="7" w:tplc="AD005B5C" w:tentative="1">
      <w:start w:val="1"/>
      <w:numFmt w:val="bullet"/>
      <w:lvlText w:val="o"/>
      <w:lvlJc w:val="left"/>
      <w:pPr>
        <w:ind w:left="5760" w:hanging="360"/>
      </w:pPr>
      <w:rPr>
        <w:rFonts w:ascii="Courier New" w:hAnsi="Courier New" w:cs="Courier New" w:hint="default"/>
      </w:rPr>
    </w:lvl>
    <w:lvl w:ilvl="8" w:tplc="33F81D4C" w:tentative="1">
      <w:start w:val="1"/>
      <w:numFmt w:val="bullet"/>
      <w:lvlText w:val=""/>
      <w:lvlJc w:val="left"/>
      <w:pPr>
        <w:ind w:left="6480" w:hanging="360"/>
      </w:pPr>
      <w:rPr>
        <w:rFonts w:ascii="Wingdings" w:hAnsi="Wingdings" w:hint="default"/>
      </w:rPr>
    </w:lvl>
  </w:abstractNum>
  <w:abstractNum w:abstractNumId="4" w15:restartNumberingAfterBreak="0">
    <w:nsid w:val="7A4D3F65"/>
    <w:multiLevelType w:val="hybridMultilevel"/>
    <w:tmpl w:val="0A66419C"/>
    <w:lvl w:ilvl="0" w:tplc="64A6C8AC">
      <w:start w:val="1"/>
      <w:numFmt w:val="bullet"/>
      <w:lvlText w:val=""/>
      <w:lvlJc w:val="left"/>
      <w:pPr>
        <w:ind w:left="720" w:hanging="360"/>
      </w:pPr>
      <w:rPr>
        <w:rFonts w:ascii="Wingdings" w:hAnsi="Wingdings" w:hint="default"/>
        <w:color w:val="4472C4" w:themeColor="accent1"/>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2"/>
  </w:num>
  <w:num w:numId="5">
    <w:abstractNumId w:val="1"/>
  </w:num>
  <w:num w:numId="6">
    <w:abstractNumId w:val="1"/>
  </w:num>
  <w:num w:numId="7">
    <w:abstractNumId w:val="1"/>
  </w:num>
  <w:num w:numId="8">
    <w:abstractNumId w:val="5"/>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3"/>
  </w:num>
  <w:num w:numId="19">
    <w:abstractNumId w:val="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256D6"/>
    <w:rsid w:val="00040BAD"/>
    <w:rsid w:val="000658CD"/>
    <w:rsid w:val="0007010A"/>
    <w:rsid w:val="000749C4"/>
    <w:rsid w:val="0007559B"/>
    <w:rsid w:val="00077188"/>
    <w:rsid w:val="00080247"/>
    <w:rsid w:val="00080D90"/>
    <w:rsid w:val="000A57FE"/>
    <w:rsid w:val="000B4EF3"/>
    <w:rsid w:val="000C3518"/>
    <w:rsid w:val="000D1BD8"/>
    <w:rsid w:val="000D3FFC"/>
    <w:rsid w:val="000F3738"/>
    <w:rsid w:val="001042D4"/>
    <w:rsid w:val="00126B97"/>
    <w:rsid w:val="00131B3D"/>
    <w:rsid w:val="00170AF8"/>
    <w:rsid w:val="001821A0"/>
    <w:rsid w:val="00182D84"/>
    <w:rsid w:val="001907D6"/>
    <w:rsid w:val="001E647D"/>
    <w:rsid w:val="001F70E3"/>
    <w:rsid w:val="0020411B"/>
    <w:rsid w:val="002050B0"/>
    <w:rsid w:val="0021622D"/>
    <w:rsid w:val="002177B9"/>
    <w:rsid w:val="00242966"/>
    <w:rsid w:val="00292C51"/>
    <w:rsid w:val="00293AC2"/>
    <w:rsid w:val="002A4AFA"/>
    <w:rsid w:val="002B5078"/>
    <w:rsid w:val="003111BF"/>
    <w:rsid w:val="00320DAA"/>
    <w:rsid w:val="0033761D"/>
    <w:rsid w:val="00354D01"/>
    <w:rsid w:val="003600D0"/>
    <w:rsid w:val="003631E0"/>
    <w:rsid w:val="003826AA"/>
    <w:rsid w:val="003A3D7D"/>
    <w:rsid w:val="003B5F07"/>
    <w:rsid w:val="003B6BA8"/>
    <w:rsid w:val="003C0552"/>
    <w:rsid w:val="003C7EE3"/>
    <w:rsid w:val="0040634E"/>
    <w:rsid w:val="00414537"/>
    <w:rsid w:val="00435360"/>
    <w:rsid w:val="00444928"/>
    <w:rsid w:val="004725DB"/>
    <w:rsid w:val="00481836"/>
    <w:rsid w:val="00487C21"/>
    <w:rsid w:val="004B5793"/>
    <w:rsid w:val="004D0BC1"/>
    <w:rsid w:val="004D5284"/>
    <w:rsid w:val="0054389D"/>
    <w:rsid w:val="00544A72"/>
    <w:rsid w:val="00546146"/>
    <w:rsid w:val="005465D1"/>
    <w:rsid w:val="00551357"/>
    <w:rsid w:val="00551B82"/>
    <w:rsid w:val="00561D6E"/>
    <w:rsid w:val="005A5FB1"/>
    <w:rsid w:val="005B00D6"/>
    <w:rsid w:val="005C5319"/>
    <w:rsid w:val="005C656C"/>
    <w:rsid w:val="00603440"/>
    <w:rsid w:val="00622AD4"/>
    <w:rsid w:val="00670C44"/>
    <w:rsid w:val="00677FB1"/>
    <w:rsid w:val="0068333F"/>
    <w:rsid w:val="006910D6"/>
    <w:rsid w:val="00693919"/>
    <w:rsid w:val="006A00B1"/>
    <w:rsid w:val="006B2B9E"/>
    <w:rsid w:val="006D2C93"/>
    <w:rsid w:val="006E76E1"/>
    <w:rsid w:val="006F3C0D"/>
    <w:rsid w:val="0070228B"/>
    <w:rsid w:val="00702D57"/>
    <w:rsid w:val="007128E4"/>
    <w:rsid w:val="00712DB8"/>
    <w:rsid w:val="0074271F"/>
    <w:rsid w:val="00783763"/>
    <w:rsid w:val="0079773F"/>
    <w:rsid w:val="007B2BD8"/>
    <w:rsid w:val="007B3D0C"/>
    <w:rsid w:val="008218C4"/>
    <w:rsid w:val="008241B9"/>
    <w:rsid w:val="0083617B"/>
    <w:rsid w:val="00871BF8"/>
    <w:rsid w:val="008A205A"/>
    <w:rsid w:val="008C3502"/>
    <w:rsid w:val="008C634F"/>
    <w:rsid w:val="008E6FC9"/>
    <w:rsid w:val="008E7AF0"/>
    <w:rsid w:val="008F4533"/>
    <w:rsid w:val="008F6E5A"/>
    <w:rsid w:val="00911B8E"/>
    <w:rsid w:val="00914FF0"/>
    <w:rsid w:val="00944F7A"/>
    <w:rsid w:val="009518D2"/>
    <w:rsid w:val="009B0D88"/>
    <w:rsid w:val="009D5200"/>
    <w:rsid w:val="009E6D17"/>
    <w:rsid w:val="009F3F0F"/>
    <w:rsid w:val="00A025D5"/>
    <w:rsid w:val="00A041DD"/>
    <w:rsid w:val="00A151AA"/>
    <w:rsid w:val="00A24DDA"/>
    <w:rsid w:val="00A4733C"/>
    <w:rsid w:val="00AA33EF"/>
    <w:rsid w:val="00AB2405"/>
    <w:rsid w:val="00AB54F4"/>
    <w:rsid w:val="00AF33BA"/>
    <w:rsid w:val="00B029D0"/>
    <w:rsid w:val="00B400DC"/>
    <w:rsid w:val="00B46D2A"/>
    <w:rsid w:val="00B570CE"/>
    <w:rsid w:val="00BB50AB"/>
    <w:rsid w:val="00BC32EF"/>
    <w:rsid w:val="00C02082"/>
    <w:rsid w:val="00C14EC8"/>
    <w:rsid w:val="00C20061"/>
    <w:rsid w:val="00C33E27"/>
    <w:rsid w:val="00C43CE6"/>
    <w:rsid w:val="00C612FB"/>
    <w:rsid w:val="00C8015F"/>
    <w:rsid w:val="00C80839"/>
    <w:rsid w:val="00C82619"/>
    <w:rsid w:val="00C84AA1"/>
    <w:rsid w:val="00C85D46"/>
    <w:rsid w:val="00CB57C6"/>
    <w:rsid w:val="00CD7CE4"/>
    <w:rsid w:val="00CE006E"/>
    <w:rsid w:val="00CE11B6"/>
    <w:rsid w:val="00CF0C98"/>
    <w:rsid w:val="00CF7551"/>
    <w:rsid w:val="00D00C79"/>
    <w:rsid w:val="00D00CD2"/>
    <w:rsid w:val="00D06F99"/>
    <w:rsid w:val="00D137C2"/>
    <w:rsid w:val="00D40111"/>
    <w:rsid w:val="00D41023"/>
    <w:rsid w:val="00D44DAF"/>
    <w:rsid w:val="00D81C38"/>
    <w:rsid w:val="00D8511D"/>
    <w:rsid w:val="00D8560F"/>
    <w:rsid w:val="00D94CAF"/>
    <w:rsid w:val="00DA6D1B"/>
    <w:rsid w:val="00DB013E"/>
    <w:rsid w:val="00DD3C90"/>
    <w:rsid w:val="00DE1D39"/>
    <w:rsid w:val="00DF221F"/>
    <w:rsid w:val="00E07DA6"/>
    <w:rsid w:val="00E15F8E"/>
    <w:rsid w:val="00E544EA"/>
    <w:rsid w:val="00E77F5C"/>
    <w:rsid w:val="00E96E77"/>
    <w:rsid w:val="00EA0A5A"/>
    <w:rsid w:val="00EC4F75"/>
    <w:rsid w:val="00EC5DE0"/>
    <w:rsid w:val="00ED33F1"/>
    <w:rsid w:val="00EE6250"/>
    <w:rsid w:val="00EE7C90"/>
    <w:rsid w:val="00F07766"/>
    <w:rsid w:val="00F103ED"/>
    <w:rsid w:val="00F1476F"/>
    <w:rsid w:val="00F16530"/>
    <w:rsid w:val="00F25A61"/>
    <w:rsid w:val="00F30040"/>
    <w:rsid w:val="00F434CE"/>
    <w:rsid w:val="00F56B46"/>
    <w:rsid w:val="00F7759D"/>
    <w:rsid w:val="00F80B8E"/>
    <w:rsid w:val="00FD2EAD"/>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8CE37DD7-6B87-45A7-8F39-5F6E01BB3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paragraph" w:styleId="FootnoteText">
    <w:name w:val="footnote text"/>
    <w:aliases w:val="M Footnotes"/>
    <w:basedOn w:val="Normal"/>
    <w:link w:val="FootnoteTextChar"/>
    <w:uiPriority w:val="99"/>
    <w:unhideWhenUsed/>
    <w:qFormat/>
    <w:rsid w:val="00C85D46"/>
    <w:pPr>
      <w:spacing w:after="0" w:line="240" w:lineRule="auto"/>
    </w:pPr>
    <w:rPr>
      <w:sz w:val="20"/>
      <w:szCs w:val="20"/>
    </w:rPr>
  </w:style>
  <w:style w:type="character" w:customStyle="1" w:styleId="FootnoteTextChar">
    <w:name w:val="Footnote Text Char"/>
    <w:aliases w:val="M Footnotes Char"/>
    <w:basedOn w:val="DefaultParagraphFont"/>
    <w:link w:val="FootnoteText"/>
    <w:uiPriority w:val="99"/>
    <w:rsid w:val="00C85D46"/>
    <w:rPr>
      <w:sz w:val="20"/>
      <w:szCs w:val="20"/>
    </w:rPr>
  </w:style>
  <w:style w:type="character" w:styleId="FootnoteReference">
    <w:name w:val="footnote reference"/>
    <w:aliases w:val=" BVI fnr,16 Point,BVI fnr,Exposant 3 Point,F,FR,Footnote Reference Number,Footnote Reference Superscript,Footnote Refernece,Footnote symbol,Odwołanie przypisu,Ref,SUPERS,Superscript 6 Point,Times 10 Point,callout,de nota al pie,number"/>
    <w:basedOn w:val="DefaultParagraphFont"/>
    <w:uiPriority w:val="99"/>
    <w:unhideWhenUsed/>
    <w:qFormat/>
    <w:rsid w:val="00C85D46"/>
    <w:rPr>
      <w:vertAlign w:val="superscript"/>
    </w:rPr>
  </w:style>
  <w:style w:type="character" w:styleId="Hyperlink">
    <w:name w:val="Hyperlink"/>
    <w:basedOn w:val="DefaultParagraphFont"/>
    <w:uiPriority w:val="99"/>
    <w:unhideWhenUsed/>
    <w:rsid w:val="00C85D46"/>
    <w:rPr>
      <w:color w:val="0563C1" w:themeColor="hyperlink"/>
      <w:u w:val="single"/>
    </w:rPr>
  </w:style>
  <w:style w:type="table" w:styleId="TableGrid">
    <w:name w:val="Table Grid"/>
    <w:basedOn w:val="TableNormal"/>
    <w:uiPriority w:val="39"/>
    <w:rsid w:val="000F3738"/>
    <w:pPr>
      <w:spacing w:after="0" w:line="240" w:lineRule="auto"/>
    </w:pPr>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3F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3FFC"/>
  </w:style>
  <w:style w:type="paragraph" w:styleId="Footer">
    <w:name w:val="footer"/>
    <w:basedOn w:val="Normal"/>
    <w:link w:val="FooterChar"/>
    <w:uiPriority w:val="99"/>
    <w:unhideWhenUsed/>
    <w:rsid w:val="000D3F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3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233382">
      <w:bodyDiv w:val="1"/>
      <w:marLeft w:val="0"/>
      <w:marRight w:val="0"/>
      <w:marTop w:val="0"/>
      <w:marBottom w:val="0"/>
      <w:divBdr>
        <w:top w:val="none" w:sz="0" w:space="0" w:color="auto"/>
        <w:left w:val="none" w:sz="0" w:space="0" w:color="auto"/>
        <w:bottom w:val="none" w:sz="0" w:space="0" w:color="auto"/>
        <w:right w:val="none" w:sz="0" w:space="0" w:color="auto"/>
      </w:divBdr>
    </w:div>
    <w:div w:id="194414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gesetze-im-internet.de/rustag/BJNR005830913.html" TargetMode="External"/><Relationship Id="rId2" Type="http://schemas.openxmlformats.org/officeDocument/2006/relationships/hyperlink" Target="http://www.verwaltungsvorschriften-im-internet.de/bsvwvbund_26102009_MI31284060.htm" TargetMode="External"/><Relationship Id="rId1" Type="http://schemas.openxmlformats.org/officeDocument/2006/relationships/hyperlink" Target="https://www.gesetze-im-internet.de/aufenthg_2004/BJNR19501000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2441</Words>
  <Characters>13916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3</cp:revision>
  <cp:lastPrinted>2018-08-27T14:46:00Z</cp:lastPrinted>
  <dcterms:created xsi:type="dcterms:W3CDTF">2018-09-17T11:11:00Z</dcterms:created>
  <dcterms:modified xsi:type="dcterms:W3CDTF">2018-09-17T11:15:00Z</dcterms:modified>
</cp:coreProperties>
</file>